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CF3F" w14:textId="77777777" w:rsidR="00000000" w:rsidRDefault="00000000">
      <w:pPr>
        <w:snapToGrid w:val="0"/>
        <w:spacing w:line="560" w:lineRule="exact"/>
        <w:jc w:val="center"/>
        <w:rPr>
          <w:rFonts w:ascii="方正小标宋简体" w:eastAsia="方正小标宋简体" w:hAnsi="方正小标宋简体" w:cs="方正小标宋简体" w:hint="eastAsia"/>
          <w:color w:val="000000"/>
          <w:sz w:val="44"/>
          <w:szCs w:val="44"/>
          <w:lang w:val="en-US" w:eastAsia="zh-CN"/>
        </w:rPr>
      </w:pPr>
      <w:bookmarkStart w:id="0" w:name="OLE_LINK4"/>
      <w:bookmarkStart w:id="1" w:name="OLE_LINK3"/>
      <w:r>
        <w:rPr>
          <w:rFonts w:ascii="方正小标宋简体" w:eastAsia="方正小标宋简体" w:hAnsi="方正小标宋简体" w:cs="方正小标宋简体" w:hint="eastAsia"/>
          <w:color w:val="000000"/>
          <w:sz w:val="44"/>
          <w:szCs w:val="44"/>
          <w:lang w:val="en-US" w:eastAsia="zh-CN"/>
        </w:rPr>
        <w:t>蚌埠市营商环境局</w:t>
      </w:r>
    </w:p>
    <w:p w14:paraId="2BA98A51" w14:textId="77777777" w:rsidR="00000000" w:rsidRDefault="00000000">
      <w:pPr>
        <w:snapToGrid w:val="0"/>
        <w:spacing w:line="560" w:lineRule="exact"/>
        <w:jc w:val="center"/>
        <w:rPr>
          <w:rFonts w:ascii="方正小标宋简体" w:eastAsia="方正小标宋简体" w:hAnsi="方正小标宋简体" w:cs="方正小标宋简体" w:hint="eastAsia"/>
          <w:color w:val="000000"/>
          <w:sz w:val="44"/>
          <w:szCs w:val="44"/>
          <w:lang w:val="en-US" w:eastAsia="zh-CN"/>
        </w:rPr>
      </w:pPr>
      <w:r>
        <w:rPr>
          <w:rFonts w:ascii="方正小标宋简体" w:eastAsia="方正小标宋简体" w:hAnsi="方正小标宋简体" w:cs="方正小标宋简体" w:hint="eastAsia"/>
          <w:color w:val="000000"/>
          <w:sz w:val="44"/>
          <w:szCs w:val="44"/>
          <w:lang w:val="en-US" w:eastAsia="zh-CN"/>
        </w:rPr>
        <w:t>关于印发《蚌埠市创建市场化法治化国际化</w:t>
      </w:r>
    </w:p>
    <w:p w14:paraId="222C0484" w14:textId="77777777" w:rsidR="00000000" w:rsidRDefault="00000000">
      <w:pPr>
        <w:snapToGrid w:val="0"/>
        <w:spacing w:line="560" w:lineRule="exact"/>
        <w:jc w:val="center"/>
        <w:rPr>
          <w:rFonts w:ascii="方正小标宋简体" w:eastAsia="方正小标宋简体" w:hAnsi="方正小标宋简体" w:cs="方正小标宋简体" w:hint="eastAsia"/>
          <w:color w:val="000000"/>
          <w:sz w:val="44"/>
          <w:szCs w:val="44"/>
          <w:lang w:val="en-US" w:eastAsia="zh-CN"/>
        </w:rPr>
      </w:pPr>
      <w:r>
        <w:rPr>
          <w:rFonts w:ascii="方正小标宋简体" w:eastAsia="方正小标宋简体" w:hAnsi="方正小标宋简体" w:cs="方正小标宋简体" w:hint="eastAsia"/>
          <w:color w:val="000000"/>
          <w:sz w:val="44"/>
          <w:szCs w:val="44"/>
          <w:lang w:val="en-US" w:eastAsia="zh-CN"/>
        </w:rPr>
        <w:t>一流营商环境对标提升举措（2025版）</w:t>
      </w:r>
    </w:p>
    <w:p w14:paraId="0DB6138C" w14:textId="77777777" w:rsidR="00000000" w:rsidRDefault="00000000">
      <w:pPr>
        <w:snapToGrid w:val="0"/>
        <w:spacing w:line="560" w:lineRule="exact"/>
        <w:jc w:val="center"/>
        <w:rPr>
          <w:rFonts w:ascii="方正小标宋简体" w:eastAsia="方正小标宋简体" w:hAnsi="方正小标宋简体" w:cs="方正小标宋简体" w:hint="eastAsia"/>
          <w:color w:val="000000"/>
          <w:sz w:val="44"/>
          <w:szCs w:val="44"/>
          <w:lang w:val="en-US" w:eastAsia="zh-CN"/>
        </w:rPr>
      </w:pPr>
      <w:r>
        <w:rPr>
          <w:rFonts w:ascii="方正小标宋简体" w:eastAsia="方正小标宋简体" w:hAnsi="方正小标宋简体" w:cs="方正小标宋简体" w:hint="eastAsia"/>
          <w:color w:val="000000"/>
          <w:sz w:val="44"/>
          <w:szCs w:val="44"/>
          <w:lang w:val="en-US" w:eastAsia="zh-CN"/>
        </w:rPr>
        <w:t>任务分解落实清单》的通知</w:t>
      </w:r>
    </w:p>
    <w:p w14:paraId="1D18A24D" w14:textId="77777777" w:rsidR="00000000" w:rsidRDefault="00000000">
      <w:pPr>
        <w:snapToGrid w:val="0"/>
        <w:spacing w:line="560" w:lineRule="exact"/>
        <w:rPr>
          <w:rFonts w:ascii="Times New Roman" w:eastAsia="方正仿宋简体" w:hAnsi="Times New Roman"/>
          <w:color w:val="000000"/>
          <w:sz w:val="32"/>
          <w:szCs w:val="32"/>
        </w:rPr>
      </w:pPr>
    </w:p>
    <w:p w14:paraId="55171F8A" w14:textId="77777777" w:rsidR="00000000" w:rsidRDefault="00000000">
      <w:pPr>
        <w:snapToGrid w:val="0"/>
        <w:spacing w:line="560" w:lineRule="exact"/>
        <w:rPr>
          <w:rFonts w:ascii="Times New Roman" w:eastAsia="方正仿宋简体" w:hAnsi="Times New Roman" w:hint="eastAsia"/>
          <w:color w:val="000000"/>
          <w:sz w:val="32"/>
          <w:szCs w:val="32"/>
        </w:rPr>
      </w:pPr>
      <w:r>
        <w:rPr>
          <w:rFonts w:ascii="Times New Roman" w:eastAsia="方正仿宋简体" w:hAnsi="Times New Roman" w:hint="eastAsia"/>
          <w:color w:val="000000"/>
          <w:sz w:val="32"/>
          <w:szCs w:val="32"/>
        </w:rPr>
        <w:t>市有关单位：</w:t>
      </w:r>
    </w:p>
    <w:p w14:paraId="7321DA7B" w14:textId="77777777" w:rsidR="00000000" w:rsidRDefault="00000000">
      <w:pPr>
        <w:snapToGrid w:val="0"/>
        <w:spacing w:line="560" w:lineRule="exact"/>
        <w:ind w:firstLineChars="200" w:firstLine="640"/>
        <w:rPr>
          <w:rFonts w:ascii="Times New Roman" w:eastAsia="方正仿宋简体" w:hAnsi="Times New Roman" w:hint="eastAsia"/>
          <w:color w:val="000000"/>
          <w:sz w:val="32"/>
          <w:szCs w:val="32"/>
        </w:rPr>
      </w:pPr>
      <w:r>
        <w:rPr>
          <w:rFonts w:ascii="Times New Roman" w:eastAsia="方正仿宋简体" w:hAnsi="Times New Roman" w:hint="eastAsia"/>
          <w:color w:val="000000"/>
          <w:sz w:val="32"/>
          <w:szCs w:val="32"/>
        </w:rPr>
        <w:t>为深入贯彻落实省委、省政府持续打造市场化、法治化、国际化一流营商环境工作部署，聚焦企业需求，对标先进做法，推动政务服务优化升级，为企服务提质增效。经研究同意，现将《蚌埠市创建市场化法治化国际化一流营商环境对标提升举措（</w:t>
      </w:r>
      <w:r>
        <w:rPr>
          <w:rFonts w:ascii="Times New Roman" w:eastAsia="方正仿宋简体" w:hAnsi="Times New Roman" w:hint="eastAsia"/>
          <w:color w:val="000000"/>
          <w:sz w:val="32"/>
          <w:szCs w:val="32"/>
        </w:rPr>
        <w:t>2025</w:t>
      </w:r>
      <w:r>
        <w:rPr>
          <w:rFonts w:ascii="Times New Roman" w:eastAsia="方正仿宋简体" w:hAnsi="Times New Roman" w:hint="eastAsia"/>
          <w:color w:val="000000"/>
          <w:sz w:val="32"/>
          <w:szCs w:val="32"/>
        </w:rPr>
        <w:t>版）任务分解落实清单》印发给你们，请认真抓好组织实施。</w:t>
      </w:r>
    </w:p>
    <w:p w14:paraId="74C7895B" w14:textId="77777777" w:rsidR="00000000" w:rsidRDefault="00000000">
      <w:pPr>
        <w:snapToGrid w:val="0"/>
        <w:spacing w:line="560" w:lineRule="exact"/>
        <w:ind w:firstLineChars="200" w:firstLine="640"/>
        <w:rPr>
          <w:rFonts w:ascii="方正黑体简体" w:eastAsia="方正黑体简体" w:hAnsi="方正黑体简体" w:cs="方正黑体简体" w:hint="eastAsia"/>
          <w:color w:val="000000"/>
          <w:sz w:val="32"/>
          <w:szCs w:val="32"/>
        </w:rPr>
      </w:pPr>
      <w:r>
        <w:rPr>
          <w:rFonts w:ascii="方正黑体简体" w:eastAsia="方正黑体简体" w:hAnsi="方正黑体简体" w:cs="方正黑体简体" w:hint="eastAsia"/>
          <w:color w:val="000000"/>
          <w:sz w:val="32"/>
          <w:szCs w:val="32"/>
        </w:rPr>
        <w:t>一、聚焦企业需求，实现可感可及</w:t>
      </w:r>
    </w:p>
    <w:p w14:paraId="25ED5ED2" w14:textId="77777777" w:rsidR="00000000" w:rsidRDefault="00000000">
      <w:pPr>
        <w:snapToGrid w:val="0"/>
        <w:spacing w:line="560" w:lineRule="exact"/>
        <w:ind w:firstLineChars="200" w:firstLine="640"/>
        <w:rPr>
          <w:rFonts w:ascii="Times New Roman" w:eastAsia="方正仿宋简体" w:hAnsi="Times New Roman" w:hint="eastAsia"/>
          <w:color w:val="000000"/>
          <w:sz w:val="32"/>
          <w:szCs w:val="32"/>
        </w:rPr>
      </w:pPr>
      <w:r>
        <w:rPr>
          <w:rFonts w:ascii="Times New Roman" w:eastAsia="方正仿宋简体" w:hAnsi="Times New Roman" w:hint="eastAsia"/>
          <w:color w:val="000000"/>
          <w:sz w:val="32"/>
          <w:szCs w:val="32"/>
        </w:rPr>
        <w:t>坚持问题导向，聚焦企业在进入市场、要素保障、经营环境、纠纷化解、退出市场全生命周期中的痛点难点，充分发挥营商环境体验员、监测点等机制作用，推出一批回应关切、务实管用的改革举措，解决一批制约企业发展的突出问题，以政府有为、问题有解推动实现市场有效、企业有感。</w:t>
      </w:r>
    </w:p>
    <w:p w14:paraId="1E5B7462" w14:textId="77777777" w:rsidR="00000000" w:rsidRDefault="00000000">
      <w:pPr>
        <w:snapToGrid w:val="0"/>
        <w:spacing w:line="560" w:lineRule="exact"/>
        <w:ind w:firstLineChars="200" w:firstLine="640"/>
        <w:rPr>
          <w:rFonts w:ascii="方正黑体简体" w:eastAsia="方正黑体简体" w:hAnsi="方正黑体简体" w:cs="方正黑体简体" w:hint="eastAsia"/>
          <w:color w:val="000000"/>
          <w:sz w:val="32"/>
          <w:szCs w:val="32"/>
        </w:rPr>
      </w:pPr>
      <w:r>
        <w:rPr>
          <w:rFonts w:ascii="方正黑体简体" w:eastAsia="方正黑体简体" w:hAnsi="方正黑体简体" w:cs="方正黑体简体" w:hint="eastAsia"/>
          <w:color w:val="000000"/>
          <w:sz w:val="32"/>
          <w:szCs w:val="32"/>
        </w:rPr>
        <w:t>二、坚持对标提升，突出蚌埠特色</w:t>
      </w:r>
    </w:p>
    <w:p w14:paraId="358CA221" w14:textId="77777777" w:rsidR="00000000" w:rsidRDefault="00000000">
      <w:pPr>
        <w:snapToGrid w:val="0"/>
        <w:spacing w:line="560" w:lineRule="exact"/>
        <w:ind w:firstLineChars="200" w:firstLine="640"/>
        <w:rPr>
          <w:rFonts w:ascii="Times New Roman" w:eastAsia="方正仿宋简体" w:hAnsi="Times New Roman" w:hint="eastAsia"/>
          <w:color w:val="000000"/>
          <w:sz w:val="32"/>
          <w:szCs w:val="32"/>
        </w:rPr>
      </w:pPr>
      <w:r>
        <w:rPr>
          <w:rFonts w:ascii="Times New Roman" w:eastAsia="方正仿宋简体" w:hAnsi="Times New Roman" w:hint="eastAsia"/>
          <w:color w:val="000000"/>
          <w:sz w:val="32"/>
          <w:szCs w:val="32"/>
        </w:rPr>
        <w:t>坚持目标导向，对标一流找差距、推动落实补短板，省内对标标杆城市、省外对标先进地市，双对标双提升，补短板强弱项。在贯彻省举措基础上，结合实际，探索更多具有蚌埠特色，首创性、差异性，可复制、可推广的改革举措，及时总结工作实践中的经验做法和典型案例，以优秀案例先行、通行规则随行，推动</w:t>
      </w:r>
      <w:r>
        <w:rPr>
          <w:rFonts w:ascii="Times New Roman" w:eastAsia="方正仿宋简体" w:hAnsi="Times New Roman" w:hint="eastAsia"/>
          <w:color w:val="000000"/>
          <w:sz w:val="32"/>
          <w:szCs w:val="32"/>
        </w:rPr>
        <w:lastRenderedPageBreak/>
        <w:t>全市营商环境持续改善，持续擦亮蚌埠市营商环境金字招牌。</w:t>
      </w:r>
    </w:p>
    <w:p w14:paraId="6F348D40" w14:textId="77777777" w:rsidR="00000000" w:rsidRDefault="00000000">
      <w:pPr>
        <w:snapToGrid w:val="0"/>
        <w:spacing w:line="560" w:lineRule="exact"/>
        <w:ind w:firstLineChars="200" w:firstLine="640"/>
        <w:rPr>
          <w:rFonts w:ascii="方正黑体简体" w:eastAsia="方正黑体简体" w:hAnsi="方正黑体简体" w:cs="方正黑体简体" w:hint="eastAsia"/>
          <w:color w:val="000000"/>
          <w:sz w:val="32"/>
          <w:szCs w:val="32"/>
        </w:rPr>
      </w:pPr>
      <w:r>
        <w:rPr>
          <w:rFonts w:ascii="方正黑体简体" w:eastAsia="方正黑体简体" w:hAnsi="方正黑体简体" w:cs="方正黑体简体" w:hint="eastAsia"/>
          <w:color w:val="000000"/>
          <w:sz w:val="32"/>
          <w:szCs w:val="32"/>
        </w:rPr>
        <w:t>三、强化工作落实，全面助推发展</w:t>
      </w:r>
    </w:p>
    <w:p w14:paraId="4E1BB21B" w14:textId="77777777" w:rsidR="00000000" w:rsidRDefault="00000000">
      <w:pPr>
        <w:snapToGrid w:val="0"/>
        <w:spacing w:line="560" w:lineRule="exact"/>
        <w:ind w:firstLineChars="200" w:firstLine="640"/>
        <w:rPr>
          <w:rFonts w:ascii="Times New Roman" w:eastAsia="方正仿宋简体" w:hAnsi="Times New Roman" w:hint="eastAsia"/>
          <w:color w:val="000000"/>
          <w:sz w:val="32"/>
          <w:szCs w:val="32"/>
        </w:rPr>
      </w:pPr>
      <w:r>
        <w:rPr>
          <w:rFonts w:ascii="Times New Roman" w:eastAsia="方正仿宋简体" w:hAnsi="Times New Roman" w:hint="eastAsia"/>
          <w:color w:val="000000"/>
          <w:sz w:val="32"/>
          <w:szCs w:val="32"/>
        </w:rPr>
        <w:t>坚持结果导向，压实工作责任，加强过程管理，推动各项举措落地见效。充分发挥营商环境服务主导产业发展、推动重点项目建设的重要作用，持续为各类经营主体创造稳定、透明、规范、可预期的优良环境，助力经济社会高质量发展。</w:t>
      </w:r>
    </w:p>
    <w:p w14:paraId="178C9858" w14:textId="77777777" w:rsidR="00000000" w:rsidRDefault="00000000">
      <w:pPr>
        <w:snapToGrid w:val="0"/>
        <w:spacing w:line="560" w:lineRule="exact"/>
        <w:ind w:firstLineChars="200" w:firstLine="640"/>
        <w:rPr>
          <w:rFonts w:ascii="Times New Roman" w:eastAsia="方正仿宋简体" w:hAnsi="Times New Roman"/>
          <w:color w:val="000000"/>
          <w:sz w:val="32"/>
          <w:szCs w:val="32"/>
        </w:rPr>
      </w:pPr>
    </w:p>
    <w:p w14:paraId="07BD15FA" w14:textId="77777777" w:rsidR="00000000" w:rsidRDefault="00000000">
      <w:pPr>
        <w:snapToGrid w:val="0"/>
        <w:spacing w:line="560" w:lineRule="exact"/>
        <w:ind w:firstLineChars="200" w:firstLine="640"/>
        <w:rPr>
          <w:rFonts w:ascii="Times New Roman" w:eastAsia="方正仿宋简体" w:hAnsi="Times New Roman" w:hint="eastAsia"/>
          <w:color w:val="000000"/>
          <w:sz w:val="32"/>
          <w:szCs w:val="32"/>
        </w:rPr>
      </w:pPr>
      <w:r>
        <w:rPr>
          <w:rFonts w:ascii="Times New Roman" w:eastAsia="方正仿宋简体" w:hAnsi="Times New Roman" w:hint="eastAsia"/>
          <w:color w:val="000000"/>
          <w:sz w:val="32"/>
          <w:szCs w:val="32"/>
        </w:rPr>
        <w:t>附件：蚌埠市创建市场化法治化国际化一流营商环境对标</w:t>
      </w:r>
    </w:p>
    <w:p w14:paraId="7C00DF86" w14:textId="77777777" w:rsidR="00000000" w:rsidRDefault="00000000">
      <w:pPr>
        <w:snapToGrid w:val="0"/>
        <w:spacing w:line="560" w:lineRule="exact"/>
        <w:ind w:firstLineChars="500" w:firstLine="1600"/>
        <w:rPr>
          <w:rFonts w:ascii="Times New Roman" w:eastAsia="方正仿宋简体" w:hAnsi="Times New Roman" w:hint="eastAsia"/>
          <w:color w:val="000000"/>
          <w:sz w:val="32"/>
          <w:szCs w:val="32"/>
        </w:rPr>
      </w:pPr>
      <w:r>
        <w:rPr>
          <w:rFonts w:ascii="Times New Roman" w:eastAsia="方正仿宋简体" w:hAnsi="Times New Roman" w:hint="eastAsia"/>
          <w:color w:val="000000"/>
          <w:sz w:val="32"/>
          <w:szCs w:val="32"/>
        </w:rPr>
        <w:t>提升举措（</w:t>
      </w:r>
      <w:r>
        <w:rPr>
          <w:rFonts w:ascii="Times New Roman" w:eastAsia="方正仿宋简体" w:hAnsi="Times New Roman" w:hint="eastAsia"/>
          <w:color w:val="000000"/>
          <w:sz w:val="32"/>
          <w:szCs w:val="32"/>
        </w:rPr>
        <w:t>2025</w:t>
      </w:r>
      <w:r>
        <w:rPr>
          <w:rFonts w:ascii="Times New Roman" w:eastAsia="方正仿宋简体" w:hAnsi="Times New Roman" w:hint="eastAsia"/>
          <w:color w:val="000000"/>
          <w:sz w:val="32"/>
          <w:szCs w:val="32"/>
        </w:rPr>
        <w:t>版）任务分解落实清单</w:t>
      </w:r>
    </w:p>
    <w:p w14:paraId="488C115D" w14:textId="77777777" w:rsidR="00000000" w:rsidRDefault="00000000">
      <w:pPr>
        <w:snapToGrid w:val="0"/>
        <w:spacing w:line="590" w:lineRule="exact"/>
        <w:ind w:firstLineChars="200" w:firstLine="640"/>
        <w:rPr>
          <w:rFonts w:ascii="Times New Roman" w:eastAsia="方正仿宋简体" w:hAnsi="Times New Roman"/>
          <w:color w:val="000000"/>
          <w:sz w:val="32"/>
          <w:szCs w:val="32"/>
        </w:rPr>
      </w:pPr>
    </w:p>
    <w:p w14:paraId="4082F606" w14:textId="77777777" w:rsidR="00720D15" w:rsidRDefault="00720D15">
      <w:pPr>
        <w:snapToGrid w:val="0"/>
        <w:spacing w:line="590" w:lineRule="exact"/>
        <w:ind w:firstLineChars="200" w:firstLine="640"/>
        <w:rPr>
          <w:rFonts w:ascii="Times New Roman" w:eastAsia="方正仿宋简体" w:hAnsi="Times New Roman" w:hint="eastAsia"/>
          <w:color w:val="000000"/>
          <w:sz w:val="32"/>
          <w:szCs w:val="32"/>
        </w:rPr>
      </w:pPr>
    </w:p>
    <w:p w14:paraId="7B252AD4" w14:textId="77777777" w:rsidR="00000000" w:rsidRDefault="00720D15" w:rsidP="00720D15">
      <w:pPr>
        <w:snapToGrid w:val="0"/>
        <w:spacing w:line="590" w:lineRule="exact"/>
        <w:ind w:right="1280"/>
        <w:jc w:val="right"/>
        <w:rPr>
          <w:rFonts w:ascii="Times New Roman" w:eastAsia="方正仿宋简体" w:hAnsi="Times New Roman"/>
          <w:color w:val="000000"/>
          <w:sz w:val="32"/>
          <w:szCs w:val="32"/>
        </w:rPr>
      </w:pPr>
      <w:r>
        <w:rPr>
          <w:rFonts w:ascii="Times New Roman" w:eastAsia="方正仿宋简体" w:hAnsi="Times New Roman" w:hint="eastAsia"/>
          <w:color w:val="000000"/>
          <w:sz w:val="32"/>
          <w:szCs w:val="32"/>
        </w:rPr>
        <w:t>蚌埠市营商环境局</w:t>
      </w:r>
    </w:p>
    <w:p w14:paraId="5BE9015F" w14:textId="77777777" w:rsidR="00000000" w:rsidRDefault="00000000">
      <w:pPr>
        <w:snapToGrid w:val="0"/>
        <w:spacing w:line="590" w:lineRule="exact"/>
        <w:ind w:rightChars="600" w:right="1260" w:firstLineChars="200" w:firstLine="640"/>
        <w:jc w:val="right"/>
        <w:rPr>
          <w:rFonts w:ascii="Times New Roman" w:eastAsia="方正仿宋简体" w:hAnsi="Times New Roman" w:hint="eastAsia"/>
          <w:color w:val="000000"/>
          <w:sz w:val="32"/>
          <w:szCs w:val="32"/>
        </w:rPr>
      </w:pPr>
      <w:r>
        <w:rPr>
          <w:rFonts w:ascii="Times New Roman" w:eastAsia="方正仿宋简体" w:hAnsi="Times New Roman" w:hint="eastAsia"/>
          <w:color w:val="000000"/>
          <w:sz w:val="32"/>
          <w:szCs w:val="32"/>
        </w:rPr>
        <w:t>2025</w:t>
      </w:r>
      <w:r>
        <w:rPr>
          <w:rFonts w:ascii="Times New Roman" w:eastAsia="方正仿宋简体" w:hAnsi="Times New Roman" w:hint="eastAsia"/>
          <w:color w:val="000000"/>
          <w:sz w:val="32"/>
          <w:szCs w:val="32"/>
        </w:rPr>
        <w:t>年</w:t>
      </w:r>
      <w:r>
        <w:rPr>
          <w:rFonts w:ascii="Times New Roman" w:eastAsia="方正仿宋简体" w:hAnsi="Times New Roman" w:hint="eastAsia"/>
          <w:color w:val="000000"/>
          <w:sz w:val="32"/>
          <w:szCs w:val="32"/>
        </w:rPr>
        <w:t>6</w:t>
      </w:r>
      <w:r>
        <w:rPr>
          <w:rFonts w:ascii="Times New Roman" w:eastAsia="方正仿宋简体" w:hAnsi="Times New Roman" w:hint="eastAsia"/>
          <w:color w:val="000000"/>
          <w:sz w:val="32"/>
          <w:szCs w:val="32"/>
        </w:rPr>
        <w:t>月</w:t>
      </w:r>
      <w:r>
        <w:rPr>
          <w:rFonts w:ascii="Times New Roman" w:eastAsia="方正仿宋简体" w:hAnsi="Times New Roman" w:hint="eastAsia"/>
          <w:color w:val="000000"/>
          <w:sz w:val="32"/>
          <w:szCs w:val="32"/>
        </w:rPr>
        <w:t>5</w:t>
      </w:r>
      <w:r>
        <w:rPr>
          <w:rFonts w:ascii="Times New Roman" w:eastAsia="方正仿宋简体" w:hAnsi="Times New Roman" w:hint="eastAsia"/>
          <w:color w:val="000000"/>
          <w:sz w:val="32"/>
          <w:szCs w:val="32"/>
        </w:rPr>
        <w:t>日</w:t>
      </w:r>
    </w:p>
    <w:p w14:paraId="14E68B2E" w14:textId="77777777" w:rsidR="00000000" w:rsidRDefault="00000000">
      <w:pPr>
        <w:snapToGrid w:val="0"/>
        <w:spacing w:line="590" w:lineRule="exact"/>
        <w:ind w:firstLineChars="200" w:firstLine="640"/>
        <w:rPr>
          <w:rFonts w:ascii="Times New Roman" w:eastAsia="方正仿宋简体" w:hAnsi="Times New Roman"/>
          <w:color w:val="000000"/>
          <w:sz w:val="32"/>
          <w:szCs w:val="32"/>
        </w:rPr>
        <w:sectPr w:rsidR="00000000">
          <w:headerReference w:type="even" r:id="rId6"/>
          <w:footerReference w:type="even" r:id="rId7"/>
          <w:footerReference w:type="default" r:id="rId8"/>
          <w:headerReference w:type="first" r:id="rId9"/>
          <w:pgSz w:w="11906" w:h="16838"/>
          <w:pgMar w:top="1814" w:right="1531" w:bottom="1814" w:left="1531" w:header="851" w:footer="1418" w:gutter="0"/>
          <w:cols w:space="720"/>
          <w:docGrid w:type="lines" w:linePitch="312"/>
        </w:sectPr>
      </w:pPr>
    </w:p>
    <w:p w14:paraId="6B762C3D" w14:textId="77777777" w:rsidR="00000000" w:rsidRDefault="00000000">
      <w:pPr>
        <w:snapToGrid w:val="0"/>
        <w:spacing w:line="590" w:lineRule="exact"/>
        <w:rPr>
          <w:rFonts w:ascii="方正黑体简体" w:eastAsia="方正黑体简体" w:hAnsi="方正黑体简体" w:cs="方正黑体简体" w:hint="eastAsia"/>
          <w:color w:val="000000"/>
          <w:sz w:val="32"/>
          <w:szCs w:val="32"/>
        </w:rPr>
      </w:pPr>
      <w:r>
        <w:rPr>
          <w:rFonts w:ascii="方正黑体简体" w:eastAsia="方正黑体简体" w:hAnsi="方正黑体简体" w:cs="方正黑体简体" w:hint="eastAsia"/>
          <w:color w:val="000000"/>
          <w:sz w:val="32"/>
          <w:szCs w:val="32"/>
        </w:rPr>
        <w:lastRenderedPageBreak/>
        <w:t>附件</w:t>
      </w:r>
    </w:p>
    <w:p w14:paraId="2F8C19C5" w14:textId="77777777" w:rsidR="00000000" w:rsidRDefault="00000000">
      <w:pPr>
        <w:snapToGrid w:val="0"/>
        <w:spacing w:line="300" w:lineRule="exact"/>
        <w:rPr>
          <w:rFonts w:ascii="Times New Roman" w:eastAsia="方正仿宋简体" w:hAnsi="Times New Roman" w:hint="eastAsia"/>
          <w:color w:val="000000"/>
          <w:sz w:val="32"/>
          <w:szCs w:val="32"/>
        </w:rPr>
      </w:pPr>
    </w:p>
    <w:p w14:paraId="2CC56CEA" w14:textId="77777777" w:rsidR="00000000" w:rsidRDefault="00000000">
      <w:pPr>
        <w:snapToGrid w:val="0"/>
        <w:spacing w:line="560" w:lineRule="exact"/>
        <w:jc w:val="center"/>
        <w:rPr>
          <w:rFonts w:ascii="方正小标宋简体" w:eastAsia="方正小标宋简体" w:hAnsi="方正小标宋简体" w:cs="方正小标宋简体" w:hint="eastAsia"/>
          <w:color w:val="000000"/>
          <w:sz w:val="44"/>
          <w:szCs w:val="44"/>
          <w:lang w:val="en-US" w:eastAsia="zh-CN"/>
        </w:rPr>
      </w:pPr>
      <w:r>
        <w:rPr>
          <w:rFonts w:ascii="方正小标宋简体" w:eastAsia="方正小标宋简体" w:hAnsi="方正小标宋简体" w:cs="方正小标宋简体" w:hint="eastAsia"/>
          <w:color w:val="000000"/>
          <w:sz w:val="44"/>
          <w:szCs w:val="44"/>
          <w:lang w:val="en-US" w:eastAsia="zh-CN"/>
        </w:rPr>
        <w:t>蚌埠市创建市场化法治化国际化一流营商环境</w:t>
      </w:r>
    </w:p>
    <w:p w14:paraId="2CF01863" w14:textId="77777777" w:rsidR="00000000" w:rsidRDefault="00000000">
      <w:pPr>
        <w:snapToGrid w:val="0"/>
        <w:spacing w:line="560" w:lineRule="exact"/>
        <w:jc w:val="center"/>
        <w:rPr>
          <w:rFonts w:ascii="方正小标宋简体" w:eastAsia="方正小标宋简体" w:hAnsi="方正小标宋简体" w:cs="方正小标宋简体" w:hint="eastAsia"/>
          <w:color w:val="000000"/>
          <w:sz w:val="44"/>
          <w:szCs w:val="44"/>
          <w:lang w:val="en-US" w:eastAsia="zh-CN"/>
        </w:rPr>
      </w:pPr>
      <w:r>
        <w:rPr>
          <w:rFonts w:ascii="方正小标宋简体" w:eastAsia="方正小标宋简体" w:hAnsi="方正小标宋简体" w:cs="方正小标宋简体" w:hint="eastAsia"/>
          <w:color w:val="000000"/>
          <w:sz w:val="44"/>
          <w:szCs w:val="44"/>
          <w:lang w:val="en-US" w:eastAsia="zh-CN"/>
        </w:rPr>
        <w:t>对标提升举措（2025版）任务分解落实清单</w:t>
      </w:r>
    </w:p>
    <w:p w14:paraId="11E45D78" w14:textId="77777777" w:rsidR="00000000" w:rsidRDefault="00000000">
      <w:pPr>
        <w:snapToGrid w:val="0"/>
        <w:spacing w:line="300" w:lineRule="exact"/>
        <w:rPr>
          <w:rFonts w:ascii="Times New Roman" w:eastAsia="方正仿宋简体" w:hAnsi="Times New Roman"/>
          <w:color w:val="000000"/>
          <w:sz w:val="32"/>
          <w:szCs w:val="32"/>
        </w:rPr>
      </w:pPr>
    </w:p>
    <w:tbl>
      <w:tblPr>
        <w:tblW w:w="495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30" w:type="dxa"/>
          <w:bottom w:w="28" w:type="dxa"/>
          <w:right w:w="30" w:type="dxa"/>
        </w:tblCellMar>
        <w:tblLook w:val="0000" w:firstRow="0" w:lastRow="0" w:firstColumn="0" w:lastColumn="0" w:noHBand="0" w:noVBand="0"/>
      </w:tblPr>
      <w:tblGrid>
        <w:gridCol w:w="594"/>
        <w:gridCol w:w="9328"/>
        <w:gridCol w:w="1830"/>
        <w:gridCol w:w="1316"/>
      </w:tblGrid>
      <w:tr w:rsidR="00000000" w14:paraId="3F9CE275" w14:textId="77777777">
        <w:trPr>
          <w:cantSplit/>
          <w:trHeight w:val="454"/>
          <w:tblHeader/>
          <w:jc w:val="center"/>
        </w:trPr>
        <w:tc>
          <w:tcPr>
            <w:tcW w:w="10404" w:type="dxa"/>
            <w:gridSpan w:val="2"/>
            <w:vAlign w:val="center"/>
          </w:tcPr>
          <w:p w14:paraId="00E26D5C" w14:textId="77777777" w:rsidR="00000000" w:rsidRDefault="00000000">
            <w:pPr>
              <w:autoSpaceDE w:val="0"/>
              <w:autoSpaceDN w:val="0"/>
              <w:adjustRightInd w:val="0"/>
              <w:spacing w:line="36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任务分解</w:t>
            </w:r>
          </w:p>
        </w:tc>
        <w:tc>
          <w:tcPr>
            <w:tcW w:w="1917" w:type="dxa"/>
            <w:vAlign w:val="center"/>
          </w:tcPr>
          <w:p w14:paraId="098A0EB5" w14:textId="77777777" w:rsidR="00000000" w:rsidRDefault="00000000">
            <w:pPr>
              <w:autoSpaceDE w:val="0"/>
              <w:autoSpaceDN w:val="0"/>
              <w:adjustRightInd w:val="0"/>
              <w:spacing w:line="36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责任单位</w:t>
            </w:r>
          </w:p>
        </w:tc>
        <w:tc>
          <w:tcPr>
            <w:tcW w:w="1377" w:type="dxa"/>
            <w:vAlign w:val="center"/>
          </w:tcPr>
          <w:p w14:paraId="1062F6A5" w14:textId="77777777" w:rsidR="00000000" w:rsidRDefault="00000000">
            <w:pPr>
              <w:autoSpaceDE w:val="0"/>
              <w:autoSpaceDN w:val="0"/>
              <w:adjustRightInd w:val="0"/>
              <w:spacing w:line="360" w:lineRule="exact"/>
              <w:jc w:val="center"/>
              <w:rPr>
                <w:rFonts w:ascii="Times New Roman" w:eastAsia="黑体" w:hAnsi="Times New Roman"/>
                <w:color w:val="000000"/>
                <w:kern w:val="0"/>
                <w:sz w:val="24"/>
              </w:rPr>
            </w:pPr>
            <w:r>
              <w:rPr>
                <w:rFonts w:ascii="Times New Roman" w:eastAsia="黑体" w:hAnsi="Times New Roman"/>
                <w:color w:val="000000"/>
                <w:kern w:val="0"/>
                <w:sz w:val="24"/>
              </w:rPr>
              <w:t>完成时限</w:t>
            </w:r>
          </w:p>
        </w:tc>
      </w:tr>
      <w:tr w:rsidR="00000000" w14:paraId="0F1DF68B" w14:textId="77777777">
        <w:trPr>
          <w:cantSplit/>
          <w:trHeight w:val="454"/>
          <w:jc w:val="center"/>
        </w:trPr>
        <w:tc>
          <w:tcPr>
            <w:tcW w:w="10404" w:type="dxa"/>
            <w:gridSpan w:val="2"/>
            <w:vAlign w:val="center"/>
          </w:tcPr>
          <w:p w14:paraId="00A881C8" w14:textId="77777777" w:rsidR="00000000" w:rsidRDefault="00000000">
            <w:pPr>
              <w:autoSpaceDE w:val="0"/>
              <w:autoSpaceDN w:val="0"/>
              <w:adjustRightInd w:val="0"/>
              <w:spacing w:line="360" w:lineRule="exact"/>
              <w:jc w:val="left"/>
              <w:rPr>
                <w:rFonts w:ascii="Times New Roman" w:eastAsia="方正黑体简体" w:hAnsi="Times New Roman"/>
                <w:color w:val="000000"/>
                <w:kern w:val="0"/>
                <w:sz w:val="24"/>
              </w:rPr>
            </w:pPr>
            <w:r>
              <w:rPr>
                <w:rFonts w:ascii="Times New Roman" w:eastAsia="方正黑体简体" w:hAnsi="Times New Roman"/>
                <w:color w:val="000000"/>
                <w:kern w:val="0"/>
                <w:sz w:val="24"/>
              </w:rPr>
              <w:t>一、推进市场化营商环境建设</w:t>
            </w:r>
          </w:p>
        </w:tc>
        <w:tc>
          <w:tcPr>
            <w:tcW w:w="1917" w:type="dxa"/>
            <w:vAlign w:val="center"/>
          </w:tcPr>
          <w:p w14:paraId="5B87743A" w14:textId="77777777" w:rsidR="00000000" w:rsidRDefault="00000000">
            <w:pPr>
              <w:autoSpaceDE w:val="0"/>
              <w:autoSpaceDN w:val="0"/>
              <w:adjustRightInd w:val="0"/>
              <w:spacing w:line="360" w:lineRule="exact"/>
              <w:jc w:val="left"/>
              <w:rPr>
                <w:rFonts w:ascii="Times New Roman" w:eastAsia="方正黑体简体" w:hAnsi="Times New Roman"/>
                <w:color w:val="000000"/>
                <w:kern w:val="0"/>
                <w:sz w:val="24"/>
              </w:rPr>
            </w:pPr>
          </w:p>
        </w:tc>
        <w:tc>
          <w:tcPr>
            <w:tcW w:w="1377" w:type="dxa"/>
            <w:vAlign w:val="center"/>
          </w:tcPr>
          <w:p w14:paraId="7682B31A" w14:textId="77777777" w:rsidR="00000000" w:rsidRDefault="00000000">
            <w:pPr>
              <w:autoSpaceDE w:val="0"/>
              <w:autoSpaceDN w:val="0"/>
              <w:adjustRightInd w:val="0"/>
              <w:spacing w:line="360" w:lineRule="exact"/>
              <w:jc w:val="left"/>
              <w:rPr>
                <w:rFonts w:ascii="Times New Roman" w:eastAsia="方正黑体简体" w:hAnsi="Times New Roman"/>
                <w:color w:val="000000"/>
                <w:kern w:val="0"/>
                <w:sz w:val="24"/>
              </w:rPr>
            </w:pPr>
          </w:p>
        </w:tc>
      </w:tr>
      <w:tr w:rsidR="00000000" w14:paraId="67F4A934" w14:textId="77777777">
        <w:trPr>
          <w:cantSplit/>
          <w:trHeight w:val="454"/>
          <w:jc w:val="center"/>
        </w:trPr>
        <w:tc>
          <w:tcPr>
            <w:tcW w:w="10404" w:type="dxa"/>
            <w:gridSpan w:val="2"/>
            <w:vAlign w:val="center"/>
          </w:tcPr>
          <w:p w14:paraId="0B87DCFC"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（一）推动市场准入规范透明。</w:t>
            </w:r>
          </w:p>
        </w:tc>
        <w:tc>
          <w:tcPr>
            <w:tcW w:w="1917" w:type="dxa"/>
            <w:vAlign w:val="center"/>
          </w:tcPr>
          <w:p w14:paraId="763562A5"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79164F7F"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5698E08F" w14:textId="77777777">
        <w:trPr>
          <w:cantSplit/>
          <w:trHeight w:val="454"/>
          <w:jc w:val="center"/>
        </w:trPr>
        <w:tc>
          <w:tcPr>
            <w:tcW w:w="619" w:type="dxa"/>
            <w:vAlign w:val="center"/>
          </w:tcPr>
          <w:p w14:paraId="300C29A7"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color w:val="000000"/>
                <w:kern w:val="0"/>
                <w:sz w:val="24"/>
              </w:rPr>
              <w:t>1</w:t>
            </w:r>
          </w:p>
        </w:tc>
        <w:tc>
          <w:tcPr>
            <w:tcW w:w="9785" w:type="dxa"/>
            <w:vAlign w:val="center"/>
          </w:tcPr>
          <w:p w14:paraId="5DA6A583" w14:textId="77777777" w:rsidR="00000000" w:rsidRDefault="00000000">
            <w:pPr>
              <w:autoSpaceDE w:val="0"/>
              <w:autoSpaceDN w:val="0"/>
              <w:adjustRightInd w:val="0"/>
              <w:spacing w:line="360" w:lineRule="exact"/>
              <w:jc w:val="left"/>
              <w:rPr>
                <w:rFonts w:ascii="Times New Roman" w:hAnsi="Times New Roman" w:hint="eastAsia"/>
                <w:color w:val="000000"/>
                <w:kern w:val="0"/>
                <w:sz w:val="24"/>
              </w:rPr>
            </w:pPr>
            <w:r>
              <w:rPr>
                <w:rFonts w:ascii="Times New Roman" w:hAnsi="Times New Roman"/>
                <w:color w:val="000000"/>
                <w:kern w:val="0"/>
                <w:sz w:val="24"/>
              </w:rPr>
              <w:t>全面落实市场准入负面清单制度，推进基础设施竞争性领域向各类经营主体公平开放，开展市场准入效能评估。征集有违统一大市场负面案例，全面推进全国统一大市场建设</w:t>
            </w:r>
            <w:r>
              <w:rPr>
                <w:rFonts w:ascii="Times New Roman" w:hAnsi="Times New Roman" w:hint="eastAsia"/>
                <w:color w:val="000000"/>
                <w:kern w:val="0"/>
                <w:sz w:val="24"/>
              </w:rPr>
              <w:t>。</w:t>
            </w:r>
          </w:p>
        </w:tc>
        <w:tc>
          <w:tcPr>
            <w:tcW w:w="1917" w:type="dxa"/>
            <w:vAlign w:val="center"/>
          </w:tcPr>
          <w:p w14:paraId="5D28751E"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市发展改革委</w:t>
            </w:r>
          </w:p>
        </w:tc>
        <w:tc>
          <w:tcPr>
            <w:tcW w:w="1377" w:type="dxa"/>
            <w:vAlign w:val="center"/>
          </w:tcPr>
          <w:p w14:paraId="7421FAA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67236E1" w14:textId="77777777">
        <w:trPr>
          <w:cantSplit/>
          <w:trHeight w:val="454"/>
          <w:jc w:val="center"/>
        </w:trPr>
        <w:tc>
          <w:tcPr>
            <w:tcW w:w="619" w:type="dxa"/>
            <w:vAlign w:val="center"/>
          </w:tcPr>
          <w:p w14:paraId="41EBA158" w14:textId="77777777" w:rsidR="00000000" w:rsidRDefault="00000000">
            <w:pPr>
              <w:autoSpaceDE w:val="0"/>
              <w:autoSpaceDN w:val="0"/>
              <w:adjustRightInd w:val="0"/>
              <w:spacing w:line="360" w:lineRule="exact"/>
              <w:jc w:val="center"/>
              <w:rPr>
                <w:rFonts w:ascii="Times New Roman" w:hAnsi="Times New Roman" w:hint="eastAsia"/>
                <w:color w:val="000000"/>
                <w:kern w:val="0"/>
                <w:sz w:val="24"/>
              </w:rPr>
            </w:pPr>
            <w:r>
              <w:rPr>
                <w:rFonts w:ascii="Times New Roman" w:hAnsi="Times New Roman" w:hint="eastAsia"/>
                <w:color w:val="000000"/>
                <w:kern w:val="0"/>
                <w:sz w:val="24"/>
              </w:rPr>
              <w:t>2</w:t>
            </w:r>
          </w:p>
        </w:tc>
        <w:tc>
          <w:tcPr>
            <w:tcW w:w="9785" w:type="dxa"/>
            <w:vAlign w:val="center"/>
          </w:tcPr>
          <w:p w14:paraId="07998D2E"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开展市场准入问题排查，深入整治在行政许可、备案、确认等实施过程中违规增加条件、材料，擅自扩大延伸审查，以及违规设置企业登记前置审批事项等行为。</w:t>
            </w:r>
          </w:p>
        </w:tc>
        <w:tc>
          <w:tcPr>
            <w:tcW w:w="1917" w:type="dxa"/>
            <w:vAlign w:val="center"/>
          </w:tcPr>
          <w:p w14:paraId="28C9D9E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市发展改革委、市商务和外事局、市市场监管局</w:t>
            </w:r>
          </w:p>
        </w:tc>
        <w:tc>
          <w:tcPr>
            <w:tcW w:w="1377" w:type="dxa"/>
            <w:vAlign w:val="center"/>
          </w:tcPr>
          <w:p w14:paraId="62B8611B"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36CEB51" w14:textId="77777777">
        <w:trPr>
          <w:cantSplit/>
          <w:trHeight w:val="454"/>
          <w:jc w:val="center"/>
        </w:trPr>
        <w:tc>
          <w:tcPr>
            <w:tcW w:w="619" w:type="dxa"/>
            <w:vAlign w:val="center"/>
          </w:tcPr>
          <w:p w14:paraId="76B0290E" w14:textId="77777777" w:rsidR="00000000" w:rsidRDefault="00000000">
            <w:pPr>
              <w:autoSpaceDE w:val="0"/>
              <w:autoSpaceDN w:val="0"/>
              <w:adjustRightInd w:val="0"/>
              <w:spacing w:line="360" w:lineRule="exact"/>
              <w:jc w:val="center"/>
              <w:rPr>
                <w:rFonts w:ascii="Times New Roman" w:hAnsi="Times New Roman" w:hint="eastAsia"/>
                <w:color w:val="000000"/>
                <w:kern w:val="0"/>
                <w:sz w:val="24"/>
              </w:rPr>
            </w:pPr>
            <w:r>
              <w:rPr>
                <w:rFonts w:ascii="Times New Roman" w:hAnsi="Times New Roman" w:hint="eastAsia"/>
                <w:color w:val="000000"/>
                <w:kern w:val="0"/>
                <w:sz w:val="24"/>
              </w:rPr>
              <w:t>3</w:t>
            </w:r>
          </w:p>
        </w:tc>
        <w:tc>
          <w:tcPr>
            <w:tcW w:w="9785" w:type="dxa"/>
            <w:vAlign w:val="center"/>
          </w:tcPr>
          <w:p w14:paraId="5F23FDB0"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制定蚌埠市</w:t>
            </w:r>
            <w:r>
              <w:rPr>
                <w:rFonts w:ascii="Times New Roman" w:hAnsi="Times New Roman"/>
                <w:color w:val="000000"/>
                <w:kern w:val="0"/>
                <w:sz w:val="24"/>
              </w:rPr>
              <w:t xml:space="preserve"> 2025 </w:t>
            </w:r>
            <w:r>
              <w:rPr>
                <w:rFonts w:ascii="Times New Roman" w:hAnsi="Times New Roman"/>
                <w:color w:val="000000"/>
                <w:kern w:val="0"/>
                <w:sz w:val="24"/>
              </w:rPr>
              <w:t>版</w:t>
            </w:r>
            <w:r>
              <w:rPr>
                <w:rFonts w:ascii="宋体" w:hAnsi="宋体"/>
                <w:color w:val="000000"/>
                <w:kern w:val="0"/>
                <w:sz w:val="24"/>
              </w:rPr>
              <w:t>“</w:t>
            </w:r>
            <w:r>
              <w:rPr>
                <w:rFonts w:ascii="Times New Roman" w:hAnsi="Times New Roman"/>
                <w:color w:val="000000"/>
                <w:kern w:val="0"/>
                <w:sz w:val="24"/>
              </w:rPr>
              <w:t>证照分离</w:t>
            </w:r>
            <w:r>
              <w:rPr>
                <w:rFonts w:ascii="宋体" w:hAnsi="宋体"/>
                <w:color w:val="000000"/>
                <w:kern w:val="0"/>
                <w:sz w:val="24"/>
              </w:rPr>
              <w:t>”</w:t>
            </w:r>
            <w:r>
              <w:rPr>
                <w:rFonts w:ascii="Times New Roman" w:hAnsi="Times New Roman"/>
                <w:color w:val="000000"/>
                <w:kern w:val="0"/>
                <w:sz w:val="24"/>
              </w:rPr>
              <w:t>改革涉企经营许可事项清单。按照直接取消审批、审批改为备案、实行告知承诺、优化审批服务等</w:t>
            </w:r>
            <w:r>
              <w:rPr>
                <w:rFonts w:ascii="宋体" w:hAnsi="宋体"/>
                <w:color w:val="000000"/>
                <w:kern w:val="0"/>
                <w:sz w:val="24"/>
              </w:rPr>
              <w:t>“</w:t>
            </w:r>
            <w:r>
              <w:rPr>
                <w:rFonts w:ascii="Times New Roman" w:hAnsi="Times New Roman"/>
                <w:color w:val="000000"/>
                <w:kern w:val="0"/>
                <w:sz w:val="24"/>
              </w:rPr>
              <w:t>进四扇门</w:t>
            </w:r>
            <w:r>
              <w:rPr>
                <w:rFonts w:ascii="宋体" w:hAnsi="宋体"/>
                <w:color w:val="000000"/>
                <w:kern w:val="0"/>
                <w:sz w:val="24"/>
              </w:rPr>
              <w:t>”</w:t>
            </w:r>
            <w:r>
              <w:rPr>
                <w:rFonts w:ascii="Times New Roman" w:hAnsi="Times New Roman"/>
                <w:color w:val="000000"/>
                <w:kern w:val="0"/>
                <w:sz w:val="24"/>
              </w:rPr>
              <w:t>方式分类推进审批制度改革。</w:t>
            </w:r>
          </w:p>
        </w:tc>
        <w:tc>
          <w:tcPr>
            <w:tcW w:w="1917" w:type="dxa"/>
            <w:vAlign w:val="center"/>
          </w:tcPr>
          <w:p w14:paraId="02C82FAB"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54D967B8"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97E263C" w14:textId="77777777">
        <w:trPr>
          <w:cantSplit/>
          <w:trHeight w:val="454"/>
          <w:jc w:val="center"/>
        </w:trPr>
        <w:tc>
          <w:tcPr>
            <w:tcW w:w="10404" w:type="dxa"/>
            <w:gridSpan w:val="2"/>
            <w:vAlign w:val="center"/>
          </w:tcPr>
          <w:p w14:paraId="748C5B5D"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（二）深入推进公平竞争政策落实。</w:t>
            </w:r>
          </w:p>
        </w:tc>
        <w:tc>
          <w:tcPr>
            <w:tcW w:w="1917" w:type="dxa"/>
            <w:vAlign w:val="center"/>
          </w:tcPr>
          <w:p w14:paraId="4799EFED"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77963BB9"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56E17488" w14:textId="77777777">
        <w:trPr>
          <w:cantSplit/>
          <w:trHeight w:val="454"/>
          <w:jc w:val="center"/>
        </w:trPr>
        <w:tc>
          <w:tcPr>
            <w:tcW w:w="619" w:type="dxa"/>
            <w:vAlign w:val="center"/>
          </w:tcPr>
          <w:p w14:paraId="578DB9B7" w14:textId="77777777" w:rsidR="00000000" w:rsidRDefault="00000000">
            <w:pPr>
              <w:autoSpaceDE w:val="0"/>
              <w:autoSpaceDN w:val="0"/>
              <w:adjustRightInd w:val="0"/>
              <w:spacing w:line="360" w:lineRule="exact"/>
              <w:jc w:val="center"/>
              <w:rPr>
                <w:rFonts w:ascii="Times New Roman" w:eastAsia="方正楷体简体" w:hAnsi="Times New Roman" w:hint="eastAsia"/>
                <w:color w:val="000000"/>
                <w:kern w:val="0"/>
                <w:sz w:val="24"/>
              </w:rPr>
            </w:pPr>
            <w:r>
              <w:rPr>
                <w:rFonts w:ascii="Times New Roman" w:eastAsia="方正楷体简体" w:hAnsi="Times New Roman" w:hint="eastAsia"/>
                <w:color w:val="000000"/>
                <w:kern w:val="0"/>
                <w:sz w:val="24"/>
              </w:rPr>
              <w:t>4</w:t>
            </w:r>
          </w:p>
        </w:tc>
        <w:tc>
          <w:tcPr>
            <w:tcW w:w="9785" w:type="dxa"/>
            <w:vAlign w:val="center"/>
          </w:tcPr>
          <w:p w14:paraId="731A8D39" w14:textId="77777777" w:rsidR="00000000" w:rsidRDefault="00000000">
            <w:pPr>
              <w:autoSpaceDE w:val="0"/>
              <w:autoSpaceDN w:val="0"/>
              <w:adjustRightInd w:val="0"/>
              <w:spacing w:line="360" w:lineRule="exact"/>
              <w:jc w:val="left"/>
              <w:rPr>
                <w:rFonts w:ascii="Times New Roman" w:hAnsi="Times New Roman" w:hint="eastAsia"/>
                <w:color w:val="000000"/>
                <w:kern w:val="0"/>
                <w:sz w:val="24"/>
              </w:rPr>
            </w:pPr>
            <w:r>
              <w:rPr>
                <w:rFonts w:ascii="Times New Roman" w:hAnsi="Times New Roman"/>
                <w:color w:val="000000"/>
                <w:kern w:val="0"/>
                <w:sz w:val="24"/>
              </w:rPr>
              <w:t>健全公平竞争审查抽查机制，制定《蚌埠市公平竞争审查抽查评估办法》，完善企业公平竞争座谈会制度。推广公平竞争审查数智化</w:t>
            </w:r>
            <w:r>
              <w:rPr>
                <w:rFonts w:ascii="Times New Roman" w:hAnsi="Times New Roman" w:hint="eastAsia"/>
                <w:color w:val="000000"/>
                <w:kern w:val="0"/>
                <w:sz w:val="24"/>
              </w:rPr>
              <w:t>应用</w:t>
            </w:r>
            <w:r>
              <w:rPr>
                <w:rFonts w:ascii="Times New Roman" w:hAnsi="Times New Roman"/>
                <w:color w:val="000000"/>
                <w:kern w:val="0"/>
                <w:sz w:val="24"/>
              </w:rPr>
              <w:t>，探索构建公平竞争审查全流程智能化工作体系</w:t>
            </w:r>
            <w:r>
              <w:rPr>
                <w:rFonts w:ascii="Times New Roman" w:hAnsi="Times New Roman" w:hint="eastAsia"/>
                <w:color w:val="000000"/>
                <w:kern w:val="0"/>
                <w:sz w:val="24"/>
              </w:rPr>
              <w:t>。</w:t>
            </w:r>
          </w:p>
        </w:tc>
        <w:tc>
          <w:tcPr>
            <w:tcW w:w="1917" w:type="dxa"/>
            <w:vAlign w:val="center"/>
          </w:tcPr>
          <w:p w14:paraId="5CA8CB8D"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5295C633"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11</w:t>
            </w:r>
            <w:r>
              <w:rPr>
                <w:rFonts w:ascii="Times New Roman" w:hAnsi="Times New Roman"/>
                <w:color w:val="000000"/>
                <w:kern w:val="0"/>
                <w:sz w:val="24"/>
              </w:rPr>
              <w:t>月</w:t>
            </w:r>
          </w:p>
        </w:tc>
      </w:tr>
      <w:tr w:rsidR="00000000" w14:paraId="3110CCD5" w14:textId="77777777">
        <w:trPr>
          <w:cantSplit/>
          <w:trHeight w:val="454"/>
          <w:jc w:val="center"/>
        </w:trPr>
        <w:tc>
          <w:tcPr>
            <w:tcW w:w="619" w:type="dxa"/>
            <w:vAlign w:val="center"/>
          </w:tcPr>
          <w:p w14:paraId="224075BA" w14:textId="77777777" w:rsidR="00000000" w:rsidRDefault="00000000">
            <w:pPr>
              <w:autoSpaceDE w:val="0"/>
              <w:autoSpaceDN w:val="0"/>
              <w:adjustRightInd w:val="0"/>
              <w:spacing w:line="360" w:lineRule="exact"/>
              <w:jc w:val="center"/>
              <w:rPr>
                <w:rFonts w:ascii="Times New Roman" w:hAnsi="Times New Roman" w:hint="eastAsia"/>
                <w:color w:val="000000"/>
                <w:kern w:val="0"/>
                <w:sz w:val="24"/>
              </w:rPr>
            </w:pPr>
            <w:r>
              <w:rPr>
                <w:rFonts w:ascii="Times New Roman" w:hAnsi="Times New Roman" w:hint="eastAsia"/>
                <w:color w:val="000000"/>
                <w:kern w:val="0"/>
                <w:sz w:val="24"/>
              </w:rPr>
              <w:lastRenderedPageBreak/>
              <w:t>5</w:t>
            </w:r>
          </w:p>
        </w:tc>
        <w:tc>
          <w:tcPr>
            <w:tcW w:w="9785" w:type="dxa"/>
            <w:vAlign w:val="center"/>
          </w:tcPr>
          <w:p w14:paraId="1DF11EC3"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开展清理和废除妨碍全国统一市场和公平竞争规定做法专项行动，开展民生领域反垄断执法专项行动及滥用行政权力排除限制竞争专项行动。</w:t>
            </w:r>
          </w:p>
        </w:tc>
        <w:tc>
          <w:tcPr>
            <w:tcW w:w="1917" w:type="dxa"/>
            <w:vAlign w:val="center"/>
          </w:tcPr>
          <w:p w14:paraId="4635EF8A"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1E334CAA"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12</w:t>
            </w:r>
            <w:r>
              <w:rPr>
                <w:rFonts w:ascii="Times New Roman" w:hAnsi="Times New Roman"/>
                <w:color w:val="000000"/>
                <w:kern w:val="0"/>
                <w:sz w:val="24"/>
              </w:rPr>
              <w:t>月</w:t>
            </w:r>
          </w:p>
        </w:tc>
      </w:tr>
      <w:tr w:rsidR="00000000" w14:paraId="13AAFE45" w14:textId="77777777">
        <w:trPr>
          <w:cantSplit/>
          <w:trHeight w:val="454"/>
          <w:jc w:val="center"/>
        </w:trPr>
        <w:tc>
          <w:tcPr>
            <w:tcW w:w="10404" w:type="dxa"/>
            <w:gridSpan w:val="2"/>
            <w:vAlign w:val="center"/>
          </w:tcPr>
          <w:p w14:paraId="6C8ECE42"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（三）持续优化招标投标市场环境。</w:t>
            </w:r>
          </w:p>
        </w:tc>
        <w:tc>
          <w:tcPr>
            <w:tcW w:w="1917" w:type="dxa"/>
            <w:vAlign w:val="center"/>
          </w:tcPr>
          <w:p w14:paraId="3D8BB3BC"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337B1395"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3DAB4DF3" w14:textId="77777777">
        <w:trPr>
          <w:cantSplit/>
          <w:trHeight w:val="454"/>
          <w:jc w:val="center"/>
        </w:trPr>
        <w:tc>
          <w:tcPr>
            <w:tcW w:w="619" w:type="dxa"/>
            <w:vAlign w:val="center"/>
          </w:tcPr>
          <w:p w14:paraId="21E946F4" w14:textId="77777777" w:rsidR="00000000" w:rsidRDefault="00000000">
            <w:pPr>
              <w:autoSpaceDE w:val="0"/>
              <w:autoSpaceDN w:val="0"/>
              <w:adjustRightInd w:val="0"/>
              <w:spacing w:line="340" w:lineRule="exact"/>
              <w:jc w:val="center"/>
              <w:rPr>
                <w:rFonts w:ascii="Times New Roman" w:eastAsia="方正楷体简体" w:hAnsi="Times New Roman" w:hint="eastAsia"/>
                <w:color w:val="000000"/>
                <w:kern w:val="0"/>
                <w:sz w:val="24"/>
              </w:rPr>
            </w:pPr>
            <w:r>
              <w:rPr>
                <w:rFonts w:ascii="Times New Roman" w:eastAsia="方正楷体简体" w:hAnsi="Times New Roman" w:hint="eastAsia"/>
                <w:color w:val="000000"/>
                <w:kern w:val="0"/>
                <w:sz w:val="24"/>
              </w:rPr>
              <w:t>6</w:t>
            </w:r>
          </w:p>
        </w:tc>
        <w:tc>
          <w:tcPr>
            <w:tcW w:w="9785" w:type="dxa"/>
            <w:vAlign w:val="center"/>
          </w:tcPr>
          <w:p w14:paraId="0D53C6BA"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分行业修订招标文件示范文本，引导招标人根据项目特点，科学合理选择评标方式、确定评标标准。完善评标委员会对异常低价投标的评审处理流程，依托电子评标系统开展异常低价预警和辅助评审，强化评审过程监督约束，依法依规处理异常低价投标。</w:t>
            </w:r>
          </w:p>
        </w:tc>
        <w:tc>
          <w:tcPr>
            <w:tcW w:w="1917" w:type="dxa"/>
            <w:vAlign w:val="center"/>
          </w:tcPr>
          <w:p w14:paraId="61FB7701"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市公共资源局</w:t>
            </w:r>
          </w:p>
        </w:tc>
        <w:tc>
          <w:tcPr>
            <w:tcW w:w="1377" w:type="dxa"/>
            <w:vAlign w:val="center"/>
          </w:tcPr>
          <w:p w14:paraId="07114C5D"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6765D96" w14:textId="77777777">
        <w:trPr>
          <w:cantSplit/>
          <w:trHeight w:val="454"/>
          <w:jc w:val="center"/>
        </w:trPr>
        <w:tc>
          <w:tcPr>
            <w:tcW w:w="619" w:type="dxa"/>
            <w:vAlign w:val="center"/>
          </w:tcPr>
          <w:p w14:paraId="6FDA25A9" w14:textId="77777777" w:rsidR="00000000" w:rsidRDefault="00000000">
            <w:pPr>
              <w:autoSpaceDE w:val="0"/>
              <w:autoSpaceDN w:val="0"/>
              <w:adjustRightInd w:val="0"/>
              <w:spacing w:line="340" w:lineRule="exact"/>
              <w:jc w:val="center"/>
              <w:rPr>
                <w:rFonts w:ascii="Times New Roman" w:hAnsi="Times New Roman" w:hint="eastAsia"/>
                <w:color w:val="000000"/>
                <w:kern w:val="0"/>
                <w:sz w:val="24"/>
              </w:rPr>
            </w:pPr>
            <w:r>
              <w:rPr>
                <w:rFonts w:ascii="Times New Roman" w:hAnsi="Times New Roman" w:hint="eastAsia"/>
                <w:color w:val="000000"/>
                <w:kern w:val="0"/>
                <w:sz w:val="24"/>
              </w:rPr>
              <w:t>7</w:t>
            </w:r>
          </w:p>
        </w:tc>
        <w:tc>
          <w:tcPr>
            <w:tcW w:w="9785" w:type="dxa"/>
            <w:vAlign w:val="center"/>
          </w:tcPr>
          <w:p w14:paraId="1EE3C20D"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以</w:t>
            </w:r>
            <w:r>
              <w:rPr>
                <w:rFonts w:ascii="宋体" w:hAnsi="宋体"/>
                <w:color w:val="000000"/>
                <w:kern w:val="0"/>
                <w:sz w:val="24"/>
              </w:rPr>
              <w:t>“</w:t>
            </w:r>
            <w:r>
              <w:rPr>
                <w:rFonts w:ascii="Times New Roman" w:hAnsi="Times New Roman"/>
                <w:color w:val="000000"/>
                <w:kern w:val="0"/>
                <w:sz w:val="24"/>
              </w:rPr>
              <w:t>小切口、多方位、全领域</w:t>
            </w:r>
            <w:r>
              <w:rPr>
                <w:rFonts w:ascii="宋体" w:hAnsi="宋体"/>
                <w:color w:val="000000"/>
                <w:kern w:val="0"/>
                <w:sz w:val="24"/>
              </w:rPr>
              <w:t>”</w:t>
            </w:r>
            <w:r>
              <w:rPr>
                <w:rFonts w:ascii="Times New Roman" w:hAnsi="Times New Roman"/>
                <w:color w:val="000000"/>
                <w:kern w:val="0"/>
                <w:sz w:val="24"/>
              </w:rPr>
              <w:t>探索推动人工智能等新技术在公共资源交易领域的应用。深入开展</w:t>
            </w:r>
            <w:r>
              <w:rPr>
                <w:rFonts w:ascii="宋体" w:hAnsi="宋体"/>
                <w:color w:val="000000"/>
                <w:kern w:val="0"/>
                <w:sz w:val="24"/>
              </w:rPr>
              <w:t>“</w:t>
            </w:r>
            <w:r>
              <w:rPr>
                <w:rFonts w:ascii="Times New Roman" w:hAnsi="Times New Roman"/>
                <w:color w:val="000000"/>
                <w:kern w:val="0"/>
                <w:sz w:val="24"/>
              </w:rPr>
              <w:t>双盲</w:t>
            </w:r>
            <w:r>
              <w:rPr>
                <w:rFonts w:ascii="宋体" w:hAnsi="宋体"/>
                <w:color w:val="000000"/>
                <w:kern w:val="0"/>
                <w:sz w:val="24"/>
              </w:rPr>
              <w:t>”</w:t>
            </w:r>
            <w:r>
              <w:rPr>
                <w:rFonts w:ascii="Times New Roman" w:hAnsi="Times New Roman"/>
                <w:color w:val="000000"/>
                <w:kern w:val="0"/>
                <w:sz w:val="24"/>
              </w:rPr>
              <w:t>、跨省远程异地评标，推行</w:t>
            </w:r>
            <w:r>
              <w:rPr>
                <w:rFonts w:ascii="宋体" w:hAnsi="宋体"/>
                <w:color w:val="000000"/>
                <w:kern w:val="0"/>
                <w:sz w:val="24"/>
              </w:rPr>
              <w:t>“</w:t>
            </w:r>
            <w:r>
              <w:rPr>
                <w:rFonts w:ascii="Times New Roman" w:hAnsi="Times New Roman"/>
                <w:color w:val="000000"/>
                <w:kern w:val="0"/>
                <w:sz w:val="24"/>
              </w:rPr>
              <w:t>电子横向暗标评审</w:t>
            </w:r>
            <w:r>
              <w:rPr>
                <w:rFonts w:ascii="Times New Roman" w:hAnsi="Times New Roman"/>
                <w:color w:val="000000"/>
                <w:kern w:val="0"/>
                <w:sz w:val="24"/>
              </w:rPr>
              <w:t>+</w:t>
            </w:r>
            <w:r>
              <w:rPr>
                <w:rFonts w:ascii="Times New Roman" w:hAnsi="Times New Roman"/>
                <w:color w:val="000000"/>
                <w:kern w:val="0"/>
                <w:sz w:val="24"/>
              </w:rPr>
              <w:t>打分监测</w:t>
            </w:r>
            <w:r>
              <w:rPr>
                <w:rFonts w:ascii="宋体" w:hAnsi="宋体"/>
                <w:color w:val="000000"/>
                <w:kern w:val="0"/>
                <w:sz w:val="24"/>
              </w:rPr>
              <w:t>”</w:t>
            </w:r>
            <w:r>
              <w:rPr>
                <w:rFonts w:ascii="Times New Roman" w:hAnsi="Times New Roman"/>
                <w:color w:val="000000"/>
                <w:kern w:val="0"/>
                <w:sz w:val="24"/>
              </w:rPr>
              <w:t>。加大对串通投标等突出问题的整治力度。</w:t>
            </w:r>
          </w:p>
        </w:tc>
        <w:tc>
          <w:tcPr>
            <w:tcW w:w="1917" w:type="dxa"/>
            <w:vAlign w:val="center"/>
          </w:tcPr>
          <w:p w14:paraId="229837BA"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市公共资源局</w:t>
            </w:r>
          </w:p>
        </w:tc>
        <w:tc>
          <w:tcPr>
            <w:tcW w:w="1377" w:type="dxa"/>
            <w:vAlign w:val="center"/>
          </w:tcPr>
          <w:p w14:paraId="449EAD97"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7CCA4DB9" w14:textId="77777777">
        <w:trPr>
          <w:cantSplit/>
          <w:trHeight w:val="454"/>
          <w:jc w:val="center"/>
        </w:trPr>
        <w:tc>
          <w:tcPr>
            <w:tcW w:w="10404" w:type="dxa"/>
            <w:gridSpan w:val="2"/>
            <w:vAlign w:val="center"/>
          </w:tcPr>
          <w:p w14:paraId="55F11444"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（四）</w:t>
            </w:r>
            <w:r>
              <w:rPr>
                <w:rFonts w:ascii="Times New Roman" w:eastAsia="方正楷体简体" w:hAnsi="Times New Roman"/>
                <w:color w:val="000000"/>
                <w:kern w:val="0"/>
                <w:sz w:val="24"/>
              </w:rPr>
              <w:t xml:space="preserve"> </w:t>
            </w:r>
            <w:r>
              <w:rPr>
                <w:rFonts w:ascii="Times New Roman" w:eastAsia="方正楷体简体" w:hAnsi="Times New Roman"/>
                <w:color w:val="000000"/>
                <w:kern w:val="0"/>
                <w:sz w:val="24"/>
              </w:rPr>
              <w:t>持续规范政府采购行为。</w:t>
            </w:r>
          </w:p>
        </w:tc>
        <w:tc>
          <w:tcPr>
            <w:tcW w:w="1917" w:type="dxa"/>
            <w:vAlign w:val="center"/>
          </w:tcPr>
          <w:p w14:paraId="1CA34734"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3EEF48D8"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59F15BA4" w14:textId="77777777">
        <w:trPr>
          <w:cantSplit/>
          <w:trHeight w:val="454"/>
          <w:jc w:val="center"/>
        </w:trPr>
        <w:tc>
          <w:tcPr>
            <w:tcW w:w="619" w:type="dxa"/>
            <w:vAlign w:val="center"/>
          </w:tcPr>
          <w:p w14:paraId="7814A871" w14:textId="77777777" w:rsidR="00000000" w:rsidRDefault="00000000">
            <w:pPr>
              <w:autoSpaceDE w:val="0"/>
              <w:autoSpaceDN w:val="0"/>
              <w:adjustRightInd w:val="0"/>
              <w:spacing w:line="340" w:lineRule="exact"/>
              <w:jc w:val="center"/>
              <w:rPr>
                <w:rFonts w:ascii="Times New Roman" w:eastAsia="方正楷体简体" w:hAnsi="Times New Roman" w:hint="eastAsia"/>
                <w:color w:val="000000"/>
                <w:kern w:val="0"/>
                <w:sz w:val="24"/>
              </w:rPr>
            </w:pPr>
            <w:r>
              <w:rPr>
                <w:rFonts w:ascii="Times New Roman" w:eastAsia="方正楷体简体" w:hAnsi="Times New Roman" w:hint="eastAsia"/>
                <w:color w:val="000000"/>
                <w:kern w:val="0"/>
                <w:sz w:val="24"/>
              </w:rPr>
              <w:t>8</w:t>
            </w:r>
          </w:p>
        </w:tc>
        <w:tc>
          <w:tcPr>
            <w:tcW w:w="9785" w:type="dxa"/>
            <w:vAlign w:val="center"/>
          </w:tcPr>
          <w:p w14:paraId="4B8EE92B"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聚焦政府采购预算执行、监督管理、合同备案三个重点环节，开展整治四类违法违规行为专项行动，破除采购隐形门槛和壁垒。落实政府采购支持中小企业发展政策，引导金融机构为中小企业提供低利率、无抵押、无担保的政府采购合同融资服务，推广电子保函，减轻中小企业资金压力。</w:t>
            </w:r>
          </w:p>
        </w:tc>
        <w:tc>
          <w:tcPr>
            <w:tcW w:w="1917" w:type="dxa"/>
            <w:vAlign w:val="center"/>
          </w:tcPr>
          <w:p w14:paraId="4493E2AC"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市财政局</w:t>
            </w:r>
          </w:p>
        </w:tc>
        <w:tc>
          <w:tcPr>
            <w:tcW w:w="1377" w:type="dxa"/>
            <w:vAlign w:val="center"/>
          </w:tcPr>
          <w:p w14:paraId="786BC855"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5A3DE9A" w14:textId="77777777">
        <w:trPr>
          <w:cantSplit/>
          <w:trHeight w:val="454"/>
          <w:jc w:val="center"/>
        </w:trPr>
        <w:tc>
          <w:tcPr>
            <w:tcW w:w="619" w:type="dxa"/>
            <w:vAlign w:val="center"/>
          </w:tcPr>
          <w:p w14:paraId="1B5578AC" w14:textId="77777777" w:rsidR="00000000" w:rsidRDefault="00000000">
            <w:pPr>
              <w:autoSpaceDE w:val="0"/>
              <w:autoSpaceDN w:val="0"/>
              <w:adjustRightInd w:val="0"/>
              <w:spacing w:line="340" w:lineRule="exact"/>
              <w:jc w:val="center"/>
              <w:rPr>
                <w:rFonts w:ascii="Times New Roman" w:hAnsi="Times New Roman" w:hint="eastAsia"/>
                <w:color w:val="000000"/>
                <w:kern w:val="0"/>
                <w:sz w:val="24"/>
              </w:rPr>
            </w:pPr>
            <w:r>
              <w:rPr>
                <w:rFonts w:ascii="Times New Roman" w:hAnsi="Times New Roman" w:hint="eastAsia"/>
                <w:color w:val="000000"/>
                <w:kern w:val="0"/>
                <w:sz w:val="24"/>
              </w:rPr>
              <w:t>9</w:t>
            </w:r>
          </w:p>
        </w:tc>
        <w:tc>
          <w:tcPr>
            <w:tcW w:w="9785" w:type="dxa"/>
            <w:vAlign w:val="center"/>
          </w:tcPr>
          <w:p w14:paraId="39032D03"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实施政府采购支持绿色建材促进建筑品质提升政策，推广绿色建筑和绿色建材应用。</w:t>
            </w:r>
          </w:p>
        </w:tc>
        <w:tc>
          <w:tcPr>
            <w:tcW w:w="1917" w:type="dxa"/>
            <w:vAlign w:val="center"/>
          </w:tcPr>
          <w:p w14:paraId="49E28D5A"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市财政局</w:t>
            </w:r>
          </w:p>
        </w:tc>
        <w:tc>
          <w:tcPr>
            <w:tcW w:w="1377" w:type="dxa"/>
            <w:vAlign w:val="center"/>
          </w:tcPr>
          <w:p w14:paraId="1355978E"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3D669D4" w14:textId="77777777">
        <w:trPr>
          <w:cantSplit/>
          <w:trHeight w:val="454"/>
          <w:jc w:val="center"/>
        </w:trPr>
        <w:tc>
          <w:tcPr>
            <w:tcW w:w="10404" w:type="dxa"/>
            <w:gridSpan w:val="2"/>
            <w:vAlign w:val="center"/>
          </w:tcPr>
          <w:p w14:paraId="0A9FA6BF"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（五）推动创新资源向企业集聚。</w:t>
            </w:r>
          </w:p>
        </w:tc>
        <w:tc>
          <w:tcPr>
            <w:tcW w:w="1917" w:type="dxa"/>
            <w:vAlign w:val="center"/>
          </w:tcPr>
          <w:p w14:paraId="29CC96F9"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28C8A108"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0CCE2881" w14:textId="77777777">
        <w:trPr>
          <w:cantSplit/>
          <w:trHeight w:val="454"/>
          <w:jc w:val="center"/>
        </w:trPr>
        <w:tc>
          <w:tcPr>
            <w:tcW w:w="619" w:type="dxa"/>
            <w:vAlign w:val="center"/>
          </w:tcPr>
          <w:p w14:paraId="43A6AD27" w14:textId="77777777" w:rsidR="00000000" w:rsidRDefault="00000000">
            <w:pPr>
              <w:autoSpaceDE w:val="0"/>
              <w:autoSpaceDN w:val="0"/>
              <w:adjustRightInd w:val="0"/>
              <w:spacing w:line="340" w:lineRule="exact"/>
              <w:jc w:val="center"/>
              <w:rPr>
                <w:rFonts w:ascii="Times New Roman" w:eastAsia="方正楷体简体" w:hAnsi="Times New Roman" w:hint="eastAsia"/>
                <w:color w:val="000000"/>
                <w:kern w:val="0"/>
                <w:sz w:val="24"/>
              </w:rPr>
            </w:pPr>
            <w:r>
              <w:rPr>
                <w:rFonts w:ascii="Times New Roman" w:eastAsia="方正楷体简体" w:hAnsi="Times New Roman" w:hint="eastAsia"/>
                <w:color w:val="000000"/>
                <w:kern w:val="0"/>
                <w:sz w:val="24"/>
              </w:rPr>
              <w:t>10</w:t>
            </w:r>
          </w:p>
        </w:tc>
        <w:tc>
          <w:tcPr>
            <w:tcW w:w="9785" w:type="dxa"/>
            <w:vAlign w:val="center"/>
          </w:tcPr>
          <w:p w14:paraId="6C4D816A"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加大项目、平台、资金、人才、奖励等创新资源向企业倾斜，实现企业牵头承担省级科技计划项目出资比例不低于</w:t>
            </w:r>
            <w:r>
              <w:rPr>
                <w:rFonts w:ascii="Times New Roman" w:hAnsi="Times New Roman"/>
                <w:color w:val="000000"/>
                <w:kern w:val="0"/>
                <w:sz w:val="24"/>
              </w:rPr>
              <w:t>60%</w:t>
            </w:r>
            <w:r>
              <w:rPr>
                <w:rFonts w:ascii="Times New Roman" w:hAnsi="Times New Roman"/>
                <w:color w:val="000000"/>
                <w:kern w:val="0"/>
                <w:sz w:val="24"/>
              </w:rPr>
              <w:t>，新获批的省产业创新平台</w:t>
            </w:r>
            <w:r>
              <w:rPr>
                <w:rFonts w:ascii="Times New Roman" w:hAnsi="Times New Roman"/>
                <w:color w:val="000000"/>
                <w:kern w:val="0"/>
                <w:sz w:val="24"/>
              </w:rPr>
              <w:t>80%</w:t>
            </w:r>
            <w:r>
              <w:rPr>
                <w:rFonts w:ascii="Times New Roman" w:hAnsi="Times New Roman"/>
                <w:color w:val="000000"/>
                <w:kern w:val="0"/>
                <w:sz w:val="24"/>
              </w:rPr>
              <w:t>以上由企业牵头组建，企业牵头和参与承担省级科技计划项目占比达</w:t>
            </w:r>
            <w:r>
              <w:rPr>
                <w:rFonts w:ascii="Times New Roman" w:hAnsi="Times New Roman"/>
                <w:color w:val="000000"/>
                <w:kern w:val="0"/>
                <w:sz w:val="24"/>
              </w:rPr>
              <w:t>90%</w:t>
            </w:r>
            <w:r>
              <w:rPr>
                <w:rFonts w:ascii="Times New Roman" w:hAnsi="Times New Roman"/>
                <w:color w:val="000000"/>
                <w:kern w:val="0"/>
                <w:sz w:val="24"/>
              </w:rPr>
              <w:t>以上。</w:t>
            </w:r>
          </w:p>
        </w:tc>
        <w:tc>
          <w:tcPr>
            <w:tcW w:w="1917" w:type="dxa"/>
            <w:vAlign w:val="center"/>
          </w:tcPr>
          <w:p w14:paraId="746AADF3"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市科技局</w:t>
            </w:r>
          </w:p>
        </w:tc>
        <w:tc>
          <w:tcPr>
            <w:tcW w:w="1377" w:type="dxa"/>
            <w:vAlign w:val="center"/>
          </w:tcPr>
          <w:p w14:paraId="3BA03997"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12</w:t>
            </w:r>
            <w:r>
              <w:rPr>
                <w:rFonts w:ascii="Times New Roman" w:hAnsi="Times New Roman"/>
                <w:color w:val="000000"/>
                <w:kern w:val="0"/>
                <w:sz w:val="24"/>
              </w:rPr>
              <w:t>月</w:t>
            </w:r>
          </w:p>
        </w:tc>
      </w:tr>
      <w:tr w:rsidR="00000000" w14:paraId="0CC91999" w14:textId="77777777">
        <w:trPr>
          <w:cantSplit/>
          <w:trHeight w:val="454"/>
          <w:jc w:val="center"/>
        </w:trPr>
        <w:tc>
          <w:tcPr>
            <w:tcW w:w="10404" w:type="dxa"/>
            <w:gridSpan w:val="2"/>
            <w:vAlign w:val="center"/>
          </w:tcPr>
          <w:p w14:paraId="5BF49DC0"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lastRenderedPageBreak/>
              <w:t>（六）</w:t>
            </w:r>
            <w:r>
              <w:rPr>
                <w:rFonts w:ascii="Times New Roman" w:eastAsia="方正楷体简体" w:hAnsi="Times New Roman"/>
                <w:color w:val="000000"/>
                <w:kern w:val="0"/>
                <w:sz w:val="24"/>
              </w:rPr>
              <w:t xml:space="preserve"> </w:t>
            </w:r>
            <w:r>
              <w:rPr>
                <w:rFonts w:ascii="Times New Roman" w:eastAsia="方正楷体简体" w:hAnsi="Times New Roman"/>
                <w:color w:val="000000"/>
                <w:kern w:val="0"/>
                <w:sz w:val="24"/>
              </w:rPr>
              <w:t>保障企业人才需求。</w:t>
            </w:r>
          </w:p>
        </w:tc>
        <w:tc>
          <w:tcPr>
            <w:tcW w:w="1917" w:type="dxa"/>
            <w:vAlign w:val="center"/>
          </w:tcPr>
          <w:p w14:paraId="5254B421"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168F269D"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30E97068" w14:textId="77777777">
        <w:trPr>
          <w:cantSplit/>
          <w:trHeight w:val="454"/>
          <w:jc w:val="center"/>
        </w:trPr>
        <w:tc>
          <w:tcPr>
            <w:tcW w:w="619" w:type="dxa"/>
            <w:vAlign w:val="center"/>
          </w:tcPr>
          <w:p w14:paraId="19E7BDC7"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11</w:t>
            </w:r>
          </w:p>
        </w:tc>
        <w:tc>
          <w:tcPr>
            <w:tcW w:w="9785" w:type="dxa"/>
            <w:vAlign w:val="center"/>
          </w:tcPr>
          <w:p w14:paraId="6A6841CC"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加强重点、新兴产业及业态人才供需分析，推进急需紧缺人才培养、招引和集聚。推行</w:t>
            </w:r>
            <w:r>
              <w:rPr>
                <w:rFonts w:ascii="宋体" w:hAnsi="宋体"/>
                <w:color w:val="000000"/>
                <w:kern w:val="0"/>
                <w:sz w:val="24"/>
              </w:rPr>
              <w:t>“</w:t>
            </w:r>
            <w:r>
              <w:rPr>
                <w:rFonts w:ascii="Times New Roman" w:hAnsi="Times New Roman"/>
                <w:color w:val="000000"/>
                <w:kern w:val="0"/>
                <w:sz w:val="24"/>
              </w:rPr>
              <w:t>劳动维权</w:t>
            </w:r>
            <w:r>
              <w:rPr>
                <w:rFonts w:ascii="Times New Roman" w:hAnsi="Times New Roman"/>
                <w:color w:val="000000"/>
                <w:kern w:val="0"/>
                <w:sz w:val="24"/>
              </w:rPr>
              <w:t>+</w:t>
            </w:r>
            <w:r>
              <w:rPr>
                <w:rFonts w:ascii="Times New Roman" w:hAnsi="Times New Roman"/>
                <w:color w:val="000000"/>
                <w:kern w:val="0"/>
                <w:sz w:val="24"/>
              </w:rPr>
              <w:t>就业帮扶</w:t>
            </w:r>
            <w:r>
              <w:rPr>
                <w:rFonts w:ascii="宋体" w:hAnsi="宋体"/>
                <w:color w:val="000000"/>
                <w:kern w:val="0"/>
                <w:sz w:val="24"/>
              </w:rPr>
              <w:t>”</w:t>
            </w:r>
            <w:r>
              <w:rPr>
                <w:rFonts w:ascii="Times New Roman" w:hAnsi="Times New Roman"/>
                <w:color w:val="000000"/>
                <w:kern w:val="0"/>
                <w:sz w:val="24"/>
              </w:rPr>
              <w:t>模式，加强劳动保障监督检查，完善新就业形态劳动者权益保障机制。</w:t>
            </w:r>
          </w:p>
        </w:tc>
        <w:tc>
          <w:tcPr>
            <w:tcW w:w="1917" w:type="dxa"/>
            <w:vAlign w:val="center"/>
          </w:tcPr>
          <w:p w14:paraId="3CB12C64"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市人力资源和</w:t>
            </w:r>
          </w:p>
          <w:p w14:paraId="7400C6C6"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社会保障局</w:t>
            </w:r>
          </w:p>
        </w:tc>
        <w:tc>
          <w:tcPr>
            <w:tcW w:w="1377" w:type="dxa"/>
            <w:vAlign w:val="center"/>
          </w:tcPr>
          <w:p w14:paraId="5CD6A0F3"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12</w:t>
            </w:r>
            <w:r>
              <w:rPr>
                <w:rFonts w:ascii="Times New Roman" w:hAnsi="Times New Roman"/>
                <w:color w:val="000000"/>
                <w:kern w:val="0"/>
                <w:sz w:val="24"/>
              </w:rPr>
              <w:t>月</w:t>
            </w:r>
          </w:p>
        </w:tc>
      </w:tr>
      <w:tr w:rsidR="00000000" w14:paraId="58D74881" w14:textId="77777777">
        <w:trPr>
          <w:cantSplit/>
          <w:trHeight w:val="454"/>
          <w:jc w:val="center"/>
        </w:trPr>
        <w:tc>
          <w:tcPr>
            <w:tcW w:w="619" w:type="dxa"/>
            <w:vAlign w:val="center"/>
          </w:tcPr>
          <w:p w14:paraId="068A0F5D" w14:textId="77777777" w:rsidR="00000000" w:rsidRDefault="00000000">
            <w:pPr>
              <w:autoSpaceDE w:val="0"/>
              <w:autoSpaceDN w:val="0"/>
              <w:adjustRightInd w:val="0"/>
              <w:spacing w:line="340" w:lineRule="exact"/>
              <w:jc w:val="center"/>
              <w:rPr>
                <w:rFonts w:ascii="Times New Roman" w:hAnsi="Times New Roman" w:hint="eastAsia"/>
                <w:color w:val="000000"/>
                <w:kern w:val="0"/>
                <w:sz w:val="24"/>
              </w:rPr>
            </w:pPr>
            <w:r>
              <w:rPr>
                <w:rFonts w:ascii="Times New Roman" w:hAnsi="Times New Roman"/>
                <w:color w:val="000000"/>
                <w:kern w:val="0"/>
                <w:sz w:val="24"/>
              </w:rPr>
              <w:t>1</w:t>
            </w:r>
            <w:r>
              <w:rPr>
                <w:rFonts w:ascii="Times New Roman" w:hAnsi="Times New Roman" w:hint="eastAsia"/>
                <w:color w:val="000000"/>
                <w:kern w:val="0"/>
                <w:sz w:val="24"/>
              </w:rPr>
              <w:t>2</w:t>
            </w:r>
          </w:p>
        </w:tc>
        <w:tc>
          <w:tcPr>
            <w:tcW w:w="9785" w:type="dxa"/>
            <w:vAlign w:val="center"/>
          </w:tcPr>
          <w:p w14:paraId="797C247E"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落实援企稳岗政策措施，完善招工用工包保制度和劳动对接机制，扎实推进</w:t>
            </w:r>
            <w:r>
              <w:rPr>
                <w:rFonts w:ascii="宋体" w:hAnsi="宋体"/>
                <w:color w:val="000000"/>
                <w:kern w:val="0"/>
                <w:sz w:val="24"/>
              </w:rPr>
              <w:t>“</w:t>
            </w:r>
            <w:r>
              <w:rPr>
                <w:rFonts w:ascii="Times New Roman" w:hAnsi="Times New Roman"/>
                <w:color w:val="000000"/>
                <w:kern w:val="0"/>
                <w:sz w:val="24"/>
              </w:rPr>
              <w:t>三级三方服务千企行动</w:t>
            </w:r>
            <w:r>
              <w:rPr>
                <w:rFonts w:ascii="宋体" w:hAnsi="宋体"/>
                <w:color w:val="000000"/>
                <w:kern w:val="0"/>
                <w:sz w:val="24"/>
              </w:rPr>
              <w:t>”</w:t>
            </w:r>
            <w:r>
              <w:rPr>
                <w:rFonts w:ascii="Times New Roman" w:hAnsi="Times New Roman"/>
                <w:color w:val="000000"/>
                <w:kern w:val="0"/>
                <w:sz w:val="24"/>
              </w:rPr>
              <w:t>。打造</w:t>
            </w:r>
            <w:r>
              <w:rPr>
                <w:rFonts w:ascii="宋体" w:hAnsi="宋体"/>
                <w:color w:val="000000"/>
                <w:kern w:val="0"/>
                <w:sz w:val="24"/>
              </w:rPr>
              <w:t>“</w:t>
            </w:r>
            <w:r>
              <w:rPr>
                <w:rFonts w:ascii="Times New Roman" w:hAnsi="Times New Roman"/>
                <w:color w:val="000000"/>
                <w:kern w:val="0"/>
                <w:sz w:val="24"/>
              </w:rPr>
              <w:t>三公里</w:t>
            </w:r>
            <w:r>
              <w:rPr>
                <w:rFonts w:ascii="宋体" w:hAnsi="宋体"/>
                <w:color w:val="000000"/>
                <w:kern w:val="0"/>
                <w:sz w:val="24"/>
              </w:rPr>
              <w:t>”</w:t>
            </w:r>
            <w:r>
              <w:rPr>
                <w:rFonts w:ascii="Times New Roman" w:hAnsi="Times New Roman"/>
                <w:color w:val="000000"/>
                <w:kern w:val="0"/>
                <w:sz w:val="24"/>
              </w:rPr>
              <w:t>就业圈服务网点，因地制宜建设一批</w:t>
            </w:r>
            <w:r>
              <w:rPr>
                <w:rFonts w:ascii="宋体" w:hAnsi="宋体"/>
                <w:color w:val="000000"/>
                <w:kern w:val="0"/>
                <w:sz w:val="24"/>
              </w:rPr>
              <w:t>“</w:t>
            </w:r>
            <w:r>
              <w:rPr>
                <w:rFonts w:ascii="Times New Roman" w:hAnsi="Times New Roman"/>
                <w:color w:val="000000"/>
                <w:kern w:val="0"/>
                <w:sz w:val="24"/>
              </w:rPr>
              <w:t>家门口</w:t>
            </w:r>
            <w:r>
              <w:rPr>
                <w:rFonts w:ascii="宋体" w:hAnsi="宋体"/>
                <w:color w:val="000000"/>
                <w:kern w:val="0"/>
                <w:sz w:val="24"/>
              </w:rPr>
              <w:t>”</w:t>
            </w:r>
            <w:r>
              <w:rPr>
                <w:rFonts w:ascii="Times New Roman" w:hAnsi="Times New Roman"/>
                <w:color w:val="000000"/>
                <w:kern w:val="0"/>
                <w:sz w:val="24"/>
              </w:rPr>
              <w:t>就业服务站、零工市场。</w:t>
            </w:r>
          </w:p>
        </w:tc>
        <w:tc>
          <w:tcPr>
            <w:tcW w:w="1917" w:type="dxa"/>
            <w:vAlign w:val="center"/>
          </w:tcPr>
          <w:p w14:paraId="2A910171"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市人力资源和</w:t>
            </w:r>
          </w:p>
          <w:p w14:paraId="17F115B5"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社会保障局</w:t>
            </w:r>
          </w:p>
        </w:tc>
        <w:tc>
          <w:tcPr>
            <w:tcW w:w="1377" w:type="dxa"/>
            <w:vAlign w:val="center"/>
          </w:tcPr>
          <w:p w14:paraId="16DA8970"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12</w:t>
            </w:r>
            <w:r>
              <w:rPr>
                <w:rFonts w:ascii="Times New Roman" w:hAnsi="Times New Roman"/>
                <w:color w:val="000000"/>
                <w:kern w:val="0"/>
                <w:sz w:val="24"/>
              </w:rPr>
              <w:t>月</w:t>
            </w:r>
          </w:p>
        </w:tc>
      </w:tr>
      <w:tr w:rsidR="00000000" w14:paraId="771ADA25" w14:textId="77777777">
        <w:trPr>
          <w:cantSplit/>
          <w:trHeight w:val="454"/>
          <w:jc w:val="center"/>
        </w:trPr>
        <w:tc>
          <w:tcPr>
            <w:tcW w:w="10404" w:type="dxa"/>
            <w:gridSpan w:val="2"/>
            <w:vAlign w:val="center"/>
          </w:tcPr>
          <w:p w14:paraId="56056D41"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（七）优化人才发展环境。</w:t>
            </w:r>
          </w:p>
        </w:tc>
        <w:tc>
          <w:tcPr>
            <w:tcW w:w="1917" w:type="dxa"/>
            <w:vAlign w:val="center"/>
          </w:tcPr>
          <w:p w14:paraId="293D4223"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2E1F054B"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1E5C5CC7" w14:textId="77777777">
        <w:trPr>
          <w:cantSplit/>
          <w:trHeight w:val="454"/>
          <w:jc w:val="center"/>
        </w:trPr>
        <w:tc>
          <w:tcPr>
            <w:tcW w:w="619" w:type="dxa"/>
            <w:vAlign w:val="center"/>
          </w:tcPr>
          <w:p w14:paraId="5C2FBDB8" w14:textId="77777777" w:rsidR="00000000" w:rsidRDefault="00000000">
            <w:pPr>
              <w:autoSpaceDE w:val="0"/>
              <w:autoSpaceDN w:val="0"/>
              <w:adjustRightInd w:val="0"/>
              <w:spacing w:line="340" w:lineRule="exact"/>
              <w:jc w:val="center"/>
              <w:rPr>
                <w:rFonts w:ascii="Times New Roman" w:eastAsia="方正楷体简体" w:hAnsi="Times New Roman" w:hint="eastAsia"/>
                <w:color w:val="000000"/>
                <w:kern w:val="0"/>
                <w:sz w:val="24"/>
              </w:rPr>
            </w:pPr>
            <w:r>
              <w:rPr>
                <w:rFonts w:ascii="Times New Roman" w:eastAsia="方正楷体简体" w:hAnsi="Times New Roman"/>
                <w:color w:val="000000"/>
                <w:kern w:val="0"/>
                <w:sz w:val="24"/>
              </w:rPr>
              <w:t>1</w:t>
            </w:r>
            <w:r>
              <w:rPr>
                <w:rFonts w:ascii="Times New Roman" w:eastAsia="方正楷体简体" w:hAnsi="Times New Roman" w:hint="eastAsia"/>
                <w:color w:val="000000"/>
                <w:kern w:val="0"/>
                <w:sz w:val="24"/>
              </w:rPr>
              <w:t>3</w:t>
            </w:r>
          </w:p>
        </w:tc>
        <w:tc>
          <w:tcPr>
            <w:tcW w:w="9785" w:type="dxa"/>
            <w:vAlign w:val="center"/>
          </w:tcPr>
          <w:p w14:paraId="2E8E147C"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积极对接省人才综合服务平台，收集人才需求，组织符合条件的高层次人才、团队，积极申报人才计划项目，分类推进人才政策</w:t>
            </w:r>
            <w:r>
              <w:rPr>
                <w:rFonts w:ascii="宋体" w:hAnsi="宋体"/>
                <w:color w:val="000000"/>
                <w:kern w:val="0"/>
                <w:sz w:val="24"/>
              </w:rPr>
              <w:t>“</w:t>
            </w:r>
            <w:r>
              <w:rPr>
                <w:rFonts w:ascii="Times New Roman" w:hAnsi="Times New Roman"/>
                <w:color w:val="000000"/>
                <w:kern w:val="0"/>
                <w:sz w:val="24"/>
              </w:rPr>
              <w:t>免审即享</w:t>
            </w:r>
            <w:r>
              <w:rPr>
                <w:rFonts w:ascii="宋体" w:hAnsi="宋体"/>
                <w:color w:val="000000"/>
                <w:kern w:val="0"/>
                <w:sz w:val="24"/>
              </w:rPr>
              <w:t>”“</w:t>
            </w:r>
            <w:r>
              <w:rPr>
                <w:rFonts w:ascii="Times New Roman" w:hAnsi="Times New Roman"/>
                <w:color w:val="000000"/>
                <w:kern w:val="0"/>
                <w:sz w:val="24"/>
              </w:rPr>
              <w:t>即申即享</w:t>
            </w:r>
            <w:r>
              <w:rPr>
                <w:rFonts w:ascii="宋体" w:hAnsi="宋体"/>
                <w:color w:val="000000"/>
                <w:kern w:val="0"/>
                <w:sz w:val="24"/>
              </w:rPr>
              <w:t>”</w:t>
            </w:r>
            <w:r>
              <w:rPr>
                <w:rFonts w:ascii="Times New Roman" w:hAnsi="Times New Roman"/>
                <w:color w:val="000000"/>
                <w:kern w:val="0"/>
                <w:sz w:val="24"/>
              </w:rPr>
              <w:t>。推动高层次人才分级分类认定</w:t>
            </w:r>
            <w:r>
              <w:rPr>
                <w:rFonts w:ascii="宋体" w:hAnsi="宋体"/>
                <w:color w:val="000000"/>
                <w:kern w:val="0"/>
                <w:sz w:val="24"/>
              </w:rPr>
              <w:t>“</w:t>
            </w:r>
            <w:r>
              <w:rPr>
                <w:rFonts w:ascii="Times New Roman" w:hAnsi="Times New Roman"/>
                <w:color w:val="000000"/>
                <w:kern w:val="0"/>
                <w:sz w:val="24"/>
              </w:rPr>
              <w:t>免审即定</w:t>
            </w:r>
            <w:r>
              <w:rPr>
                <w:rFonts w:ascii="宋体" w:hAnsi="宋体"/>
                <w:color w:val="000000"/>
                <w:kern w:val="0"/>
                <w:sz w:val="24"/>
              </w:rPr>
              <w:t>”“</w:t>
            </w:r>
            <w:r>
              <w:rPr>
                <w:rFonts w:ascii="Times New Roman" w:hAnsi="Times New Roman"/>
                <w:color w:val="000000"/>
                <w:kern w:val="0"/>
                <w:sz w:val="24"/>
              </w:rPr>
              <w:t>即申即定</w:t>
            </w:r>
            <w:r>
              <w:rPr>
                <w:rFonts w:ascii="宋体" w:hAnsi="宋体"/>
                <w:color w:val="000000"/>
                <w:kern w:val="0"/>
                <w:sz w:val="24"/>
              </w:rPr>
              <w:t>”</w:t>
            </w:r>
            <w:r>
              <w:rPr>
                <w:rFonts w:ascii="Times New Roman" w:hAnsi="Times New Roman"/>
                <w:color w:val="000000"/>
                <w:kern w:val="0"/>
                <w:sz w:val="24"/>
              </w:rPr>
              <w:t>，制定高层次人才服务事项清单，为符合条件的人才发放</w:t>
            </w:r>
            <w:r>
              <w:rPr>
                <w:rFonts w:ascii="宋体" w:hAnsi="宋体"/>
                <w:color w:val="000000"/>
                <w:kern w:val="0"/>
                <w:sz w:val="24"/>
              </w:rPr>
              <w:t>“</w:t>
            </w:r>
            <w:r>
              <w:rPr>
                <w:rFonts w:ascii="Times New Roman" w:hAnsi="Times New Roman"/>
                <w:color w:val="000000"/>
                <w:kern w:val="0"/>
                <w:sz w:val="24"/>
              </w:rPr>
              <w:t>人才卡</w:t>
            </w:r>
            <w:r>
              <w:rPr>
                <w:rFonts w:ascii="宋体" w:hAnsi="宋体"/>
                <w:color w:val="000000"/>
                <w:kern w:val="0"/>
                <w:sz w:val="24"/>
              </w:rPr>
              <w:t>”“</w:t>
            </w:r>
            <w:r>
              <w:rPr>
                <w:rFonts w:ascii="Times New Roman" w:hAnsi="Times New Roman"/>
                <w:color w:val="000000"/>
                <w:kern w:val="0"/>
                <w:sz w:val="24"/>
              </w:rPr>
              <w:t>人才码</w:t>
            </w:r>
            <w:r>
              <w:rPr>
                <w:rFonts w:ascii="宋体" w:hAnsi="宋体"/>
                <w:color w:val="000000"/>
                <w:kern w:val="0"/>
                <w:sz w:val="24"/>
              </w:rPr>
              <w:t>”</w:t>
            </w:r>
            <w:r>
              <w:rPr>
                <w:rFonts w:ascii="Times New Roman" w:hAnsi="Times New Roman"/>
                <w:color w:val="000000"/>
                <w:kern w:val="0"/>
                <w:sz w:val="24"/>
              </w:rPr>
              <w:t>。</w:t>
            </w:r>
          </w:p>
        </w:tc>
        <w:tc>
          <w:tcPr>
            <w:tcW w:w="1917" w:type="dxa"/>
            <w:vAlign w:val="center"/>
          </w:tcPr>
          <w:p w14:paraId="1BB4AE51"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市委人才工作局</w:t>
            </w:r>
          </w:p>
        </w:tc>
        <w:tc>
          <w:tcPr>
            <w:tcW w:w="1377" w:type="dxa"/>
            <w:vAlign w:val="center"/>
          </w:tcPr>
          <w:p w14:paraId="7D902806"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FAD7569" w14:textId="77777777">
        <w:trPr>
          <w:cantSplit/>
          <w:trHeight w:val="454"/>
          <w:jc w:val="center"/>
        </w:trPr>
        <w:tc>
          <w:tcPr>
            <w:tcW w:w="619" w:type="dxa"/>
            <w:vAlign w:val="center"/>
          </w:tcPr>
          <w:p w14:paraId="585FF5AA"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hint="eastAsia"/>
                <w:color w:val="000000"/>
                <w:kern w:val="0"/>
                <w:sz w:val="24"/>
              </w:rPr>
              <w:t>14</w:t>
            </w:r>
          </w:p>
        </w:tc>
        <w:tc>
          <w:tcPr>
            <w:tcW w:w="9785" w:type="dxa"/>
            <w:vAlign w:val="center"/>
          </w:tcPr>
          <w:p w14:paraId="74605D83"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稳妥推进跨区域职称异地确认，在中国（安徽）自由贸易试验区蚌埠片区稳慎开展境外职业资格认可服务。完善技能人才分类评价机制，全领域推进技能人才自主评价。推动具备条件的企业开展特级技师和首席技师评聘、符合条件的高校和高职院校开展毕业年度学生职业技能等级认定。</w:t>
            </w:r>
          </w:p>
        </w:tc>
        <w:tc>
          <w:tcPr>
            <w:tcW w:w="1917" w:type="dxa"/>
            <w:vAlign w:val="center"/>
          </w:tcPr>
          <w:p w14:paraId="2FF053DE"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市人力资源和</w:t>
            </w:r>
          </w:p>
          <w:p w14:paraId="31CE2711"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社会保障局</w:t>
            </w:r>
          </w:p>
        </w:tc>
        <w:tc>
          <w:tcPr>
            <w:tcW w:w="1377" w:type="dxa"/>
            <w:vAlign w:val="center"/>
          </w:tcPr>
          <w:p w14:paraId="4CBD9296"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475A2BF" w14:textId="77777777">
        <w:trPr>
          <w:cantSplit/>
          <w:trHeight w:val="454"/>
          <w:jc w:val="center"/>
        </w:trPr>
        <w:tc>
          <w:tcPr>
            <w:tcW w:w="10404" w:type="dxa"/>
            <w:gridSpan w:val="2"/>
            <w:vAlign w:val="center"/>
          </w:tcPr>
          <w:p w14:paraId="5C7E0CB8"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（八）强化</w:t>
            </w:r>
            <w:r>
              <w:rPr>
                <w:rFonts w:ascii="宋体" w:hAnsi="宋体"/>
                <w:color w:val="000000"/>
                <w:kern w:val="0"/>
                <w:sz w:val="24"/>
              </w:rPr>
              <w:t>“</w:t>
            </w:r>
            <w:r>
              <w:rPr>
                <w:rFonts w:ascii="Times New Roman" w:eastAsia="方正楷体简体" w:hAnsi="Times New Roman"/>
                <w:color w:val="000000"/>
                <w:kern w:val="0"/>
                <w:sz w:val="24"/>
              </w:rPr>
              <w:t>政银企</w:t>
            </w:r>
            <w:r>
              <w:rPr>
                <w:rFonts w:ascii="宋体" w:hAnsi="宋体"/>
                <w:color w:val="000000"/>
                <w:kern w:val="0"/>
                <w:sz w:val="24"/>
              </w:rPr>
              <w:t>”</w:t>
            </w:r>
            <w:r>
              <w:rPr>
                <w:rFonts w:ascii="Times New Roman" w:eastAsia="方正楷体简体" w:hAnsi="Times New Roman"/>
                <w:color w:val="000000"/>
                <w:kern w:val="0"/>
                <w:sz w:val="24"/>
              </w:rPr>
              <w:t>信息共享。</w:t>
            </w:r>
          </w:p>
        </w:tc>
        <w:tc>
          <w:tcPr>
            <w:tcW w:w="1917" w:type="dxa"/>
            <w:vAlign w:val="center"/>
          </w:tcPr>
          <w:p w14:paraId="6ABAC4EF"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1A21F9B7"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74A0DE9A" w14:textId="77777777">
        <w:trPr>
          <w:cantSplit/>
          <w:trHeight w:val="454"/>
          <w:jc w:val="center"/>
        </w:trPr>
        <w:tc>
          <w:tcPr>
            <w:tcW w:w="619" w:type="dxa"/>
            <w:vAlign w:val="center"/>
          </w:tcPr>
          <w:p w14:paraId="4FF134E1"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15</w:t>
            </w:r>
          </w:p>
        </w:tc>
        <w:tc>
          <w:tcPr>
            <w:tcW w:w="9785" w:type="dxa"/>
            <w:vAlign w:val="center"/>
          </w:tcPr>
          <w:p w14:paraId="73867E1E"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依法依规归集经营主体基础信息和纳税、社保、住房公积金、水电气等反映实际生产经营状况的信息。建立市融资信用信息主题数据库，推动与省融资信用信息主题数据库信息共享。完善全国融资信用服务平台（蚌埠）一体化网络，作为向市级金融机构集中提供公共信用信息服务的</w:t>
            </w:r>
            <w:r>
              <w:rPr>
                <w:rFonts w:ascii="宋体" w:hAnsi="宋体"/>
                <w:color w:val="000000"/>
                <w:kern w:val="0"/>
                <w:sz w:val="24"/>
              </w:rPr>
              <w:t>“</w:t>
            </w:r>
            <w:r>
              <w:rPr>
                <w:rFonts w:ascii="Times New Roman" w:hAnsi="Times New Roman"/>
                <w:color w:val="000000"/>
                <w:kern w:val="0"/>
                <w:sz w:val="24"/>
              </w:rPr>
              <w:t>唯一出口</w:t>
            </w:r>
            <w:r>
              <w:rPr>
                <w:rFonts w:ascii="宋体" w:hAnsi="宋体"/>
                <w:color w:val="000000"/>
                <w:kern w:val="0"/>
                <w:sz w:val="24"/>
              </w:rPr>
              <w:t>”</w:t>
            </w:r>
            <w:r>
              <w:rPr>
                <w:rFonts w:ascii="Times New Roman" w:hAnsi="Times New Roman"/>
                <w:color w:val="000000"/>
                <w:kern w:val="0"/>
                <w:sz w:val="24"/>
              </w:rPr>
              <w:t>。</w:t>
            </w:r>
          </w:p>
        </w:tc>
        <w:tc>
          <w:tcPr>
            <w:tcW w:w="1917" w:type="dxa"/>
            <w:vAlign w:val="center"/>
          </w:tcPr>
          <w:p w14:paraId="09A131B3"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市发展改革委</w:t>
            </w:r>
          </w:p>
        </w:tc>
        <w:tc>
          <w:tcPr>
            <w:tcW w:w="1377" w:type="dxa"/>
            <w:vAlign w:val="center"/>
          </w:tcPr>
          <w:p w14:paraId="07FC499E"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B81E9AC" w14:textId="77777777">
        <w:trPr>
          <w:cantSplit/>
          <w:trHeight w:val="454"/>
          <w:jc w:val="center"/>
        </w:trPr>
        <w:tc>
          <w:tcPr>
            <w:tcW w:w="10404" w:type="dxa"/>
            <w:gridSpan w:val="2"/>
            <w:vAlign w:val="center"/>
          </w:tcPr>
          <w:p w14:paraId="5A88C097"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（九）加大金融支持科技创新力度。</w:t>
            </w:r>
          </w:p>
        </w:tc>
        <w:tc>
          <w:tcPr>
            <w:tcW w:w="1917" w:type="dxa"/>
            <w:vAlign w:val="center"/>
          </w:tcPr>
          <w:p w14:paraId="4B514A6E"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08A1352E"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0692C5DD" w14:textId="77777777">
        <w:trPr>
          <w:cantSplit/>
          <w:trHeight w:val="454"/>
          <w:jc w:val="center"/>
        </w:trPr>
        <w:tc>
          <w:tcPr>
            <w:tcW w:w="619" w:type="dxa"/>
            <w:vAlign w:val="center"/>
          </w:tcPr>
          <w:p w14:paraId="31EE3BA9"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lastRenderedPageBreak/>
              <w:t>16</w:t>
            </w:r>
          </w:p>
        </w:tc>
        <w:tc>
          <w:tcPr>
            <w:tcW w:w="9785" w:type="dxa"/>
            <w:vAlign w:val="center"/>
          </w:tcPr>
          <w:p w14:paraId="1B738383"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优化科技担保增信服务，落实融资担保补贴政策，引导担保机构发展特色担保产品和批量担保业务，深入实施</w:t>
            </w:r>
            <w:r>
              <w:rPr>
                <w:rFonts w:ascii="宋体" w:hAnsi="宋体"/>
                <w:color w:val="000000"/>
                <w:kern w:val="0"/>
                <w:sz w:val="24"/>
              </w:rPr>
              <w:t>“</w:t>
            </w:r>
            <w:r>
              <w:rPr>
                <w:rFonts w:ascii="Times New Roman" w:hAnsi="Times New Roman"/>
                <w:color w:val="000000"/>
                <w:kern w:val="0"/>
                <w:sz w:val="24"/>
              </w:rPr>
              <w:t>支持科技创新专项担保计划</w:t>
            </w:r>
            <w:r>
              <w:rPr>
                <w:rFonts w:ascii="宋体" w:hAnsi="宋体"/>
                <w:color w:val="000000"/>
                <w:kern w:val="0"/>
                <w:sz w:val="24"/>
              </w:rPr>
              <w:t>”</w:t>
            </w:r>
            <w:r>
              <w:rPr>
                <w:rFonts w:ascii="Times New Roman" w:hAnsi="Times New Roman"/>
                <w:color w:val="000000"/>
                <w:kern w:val="0"/>
                <w:sz w:val="24"/>
              </w:rPr>
              <w:t>，引导融资担保机构支持科技等企业融资增信，提高科创企业担保获得率。</w:t>
            </w:r>
          </w:p>
        </w:tc>
        <w:tc>
          <w:tcPr>
            <w:tcW w:w="1917" w:type="dxa"/>
            <w:vAlign w:val="center"/>
          </w:tcPr>
          <w:p w14:paraId="3988E626"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市财政局</w:t>
            </w:r>
          </w:p>
        </w:tc>
        <w:tc>
          <w:tcPr>
            <w:tcW w:w="1377" w:type="dxa"/>
            <w:vAlign w:val="center"/>
          </w:tcPr>
          <w:p w14:paraId="53F20410"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7BCA976A" w14:textId="77777777">
        <w:trPr>
          <w:cantSplit/>
          <w:trHeight w:val="454"/>
          <w:jc w:val="center"/>
        </w:trPr>
        <w:tc>
          <w:tcPr>
            <w:tcW w:w="619" w:type="dxa"/>
            <w:vAlign w:val="center"/>
          </w:tcPr>
          <w:p w14:paraId="47BD5FEA"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hint="eastAsia"/>
                <w:color w:val="000000"/>
                <w:kern w:val="0"/>
                <w:sz w:val="24"/>
              </w:rPr>
              <w:t>17</w:t>
            </w:r>
          </w:p>
        </w:tc>
        <w:tc>
          <w:tcPr>
            <w:tcW w:w="9785" w:type="dxa"/>
            <w:vAlign w:val="center"/>
          </w:tcPr>
          <w:p w14:paraId="4715696D" w14:textId="77777777" w:rsidR="00000000" w:rsidRDefault="00000000">
            <w:pPr>
              <w:autoSpaceDE w:val="0"/>
              <w:autoSpaceDN w:val="0"/>
              <w:adjustRightInd w:val="0"/>
              <w:spacing w:line="326" w:lineRule="exact"/>
              <w:jc w:val="left"/>
              <w:rPr>
                <w:rFonts w:ascii="Times New Roman" w:hAnsi="Times New Roman"/>
                <w:color w:val="000000"/>
                <w:kern w:val="0"/>
                <w:sz w:val="24"/>
              </w:rPr>
            </w:pPr>
            <w:r>
              <w:rPr>
                <w:rFonts w:ascii="Times New Roman" w:hAnsi="Times New Roman"/>
                <w:color w:val="000000"/>
                <w:kern w:val="0"/>
                <w:sz w:val="24"/>
              </w:rPr>
              <w:t>扩大科创企业</w:t>
            </w:r>
            <w:r>
              <w:rPr>
                <w:rFonts w:ascii="宋体" w:hAnsi="宋体"/>
                <w:color w:val="000000"/>
                <w:kern w:val="0"/>
                <w:sz w:val="24"/>
              </w:rPr>
              <w:t>“</w:t>
            </w:r>
            <w:r>
              <w:rPr>
                <w:rFonts w:ascii="Times New Roman" w:hAnsi="Times New Roman"/>
                <w:color w:val="000000"/>
                <w:kern w:val="0"/>
                <w:sz w:val="24"/>
              </w:rPr>
              <w:t>贷投批量联动</w:t>
            </w:r>
            <w:r>
              <w:rPr>
                <w:rFonts w:ascii="宋体" w:hAnsi="宋体"/>
                <w:color w:val="000000"/>
                <w:kern w:val="0"/>
                <w:sz w:val="24"/>
              </w:rPr>
              <w:t>”</w:t>
            </w:r>
            <w:r>
              <w:rPr>
                <w:rFonts w:ascii="Times New Roman" w:hAnsi="Times New Roman"/>
                <w:color w:val="000000"/>
                <w:kern w:val="0"/>
                <w:sz w:val="24"/>
              </w:rPr>
              <w:t>服务模式覆盖面，扩大金融支持科创企业</w:t>
            </w:r>
            <w:r>
              <w:rPr>
                <w:rFonts w:ascii="宋体" w:hAnsi="宋体"/>
                <w:color w:val="000000"/>
                <w:kern w:val="0"/>
                <w:sz w:val="24"/>
              </w:rPr>
              <w:t>“</w:t>
            </w:r>
            <w:r>
              <w:rPr>
                <w:rFonts w:ascii="Times New Roman" w:hAnsi="Times New Roman"/>
                <w:color w:val="000000"/>
                <w:kern w:val="0"/>
                <w:sz w:val="24"/>
              </w:rPr>
              <w:t>共同成长计划</w:t>
            </w:r>
            <w:r>
              <w:rPr>
                <w:rFonts w:ascii="宋体" w:hAnsi="宋体"/>
                <w:color w:val="000000"/>
                <w:kern w:val="0"/>
                <w:sz w:val="24"/>
              </w:rPr>
              <w:t>”</w:t>
            </w:r>
            <w:r>
              <w:rPr>
                <w:rFonts w:ascii="Times New Roman" w:hAnsi="Times New Roman"/>
                <w:color w:val="000000"/>
                <w:kern w:val="0"/>
                <w:sz w:val="24"/>
              </w:rPr>
              <w:t>贷款规模，深入开展企业创新</w:t>
            </w:r>
            <w:r>
              <w:rPr>
                <w:rFonts w:ascii="宋体" w:hAnsi="宋体"/>
                <w:color w:val="000000"/>
                <w:kern w:val="0"/>
                <w:sz w:val="24"/>
              </w:rPr>
              <w:t>“</w:t>
            </w:r>
            <w:r>
              <w:rPr>
                <w:rFonts w:ascii="Times New Roman" w:hAnsi="Times New Roman"/>
                <w:color w:val="000000"/>
                <w:kern w:val="0"/>
                <w:sz w:val="24"/>
              </w:rPr>
              <w:t>积分贷</w:t>
            </w:r>
            <w:r>
              <w:rPr>
                <w:rFonts w:ascii="宋体" w:hAnsi="宋体"/>
                <w:color w:val="000000"/>
                <w:kern w:val="0"/>
                <w:sz w:val="24"/>
              </w:rPr>
              <w:t>”</w:t>
            </w:r>
            <w:r>
              <w:rPr>
                <w:rFonts w:ascii="Times New Roman" w:hAnsi="Times New Roman"/>
                <w:color w:val="000000"/>
                <w:kern w:val="0"/>
                <w:sz w:val="24"/>
              </w:rPr>
              <w:t>，更好满足科创企业多元化融资需求。</w:t>
            </w:r>
          </w:p>
        </w:tc>
        <w:tc>
          <w:tcPr>
            <w:tcW w:w="1917" w:type="dxa"/>
            <w:vAlign w:val="center"/>
          </w:tcPr>
          <w:p w14:paraId="1B7A5723"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国家金融监管</w:t>
            </w:r>
          </w:p>
          <w:p w14:paraId="3F6D99B4"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总局</w:t>
            </w:r>
            <w:r>
              <w:rPr>
                <w:rFonts w:ascii="Times New Roman" w:hAnsi="Times New Roman" w:hint="eastAsia"/>
                <w:color w:val="000000"/>
                <w:kern w:val="0"/>
                <w:sz w:val="24"/>
              </w:rPr>
              <w:t>蚌埠分局</w:t>
            </w:r>
            <w:r>
              <w:rPr>
                <w:rFonts w:ascii="Times New Roman" w:hAnsi="Times New Roman"/>
                <w:color w:val="000000"/>
                <w:kern w:val="0"/>
                <w:sz w:val="24"/>
              </w:rPr>
              <w:t>、</w:t>
            </w:r>
          </w:p>
          <w:p w14:paraId="6AAE6CDF"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人民银行蚌埠市分行</w:t>
            </w:r>
          </w:p>
        </w:tc>
        <w:tc>
          <w:tcPr>
            <w:tcW w:w="1377" w:type="dxa"/>
            <w:vAlign w:val="center"/>
          </w:tcPr>
          <w:p w14:paraId="4093A916"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1C5835E" w14:textId="77777777">
        <w:trPr>
          <w:cantSplit/>
          <w:trHeight w:val="454"/>
          <w:jc w:val="center"/>
        </w:trPr>
        <w:tc>
          <w:tcPr>
            <w:tcW w:w="10404" w:type="dxa"/>
            <w:gridSpan w:val="2"/>
            <w:vAlign w:val="center"/>
          </w:tcPr>
          <w:p w14:paraId="261FC953" w14:textId="77777777" w:rsidR="00000000" w:rsidRDefault="00000000">
            <w:pPr>
              <w:autoSpaceDE w:val="0"/>
              <w:autoSpaceDN w:val="0"/>
              <w:adjustRightInd w:val="0"/>
              <w:spacing w:line="326"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（十）加大中小企业融资支持。</w:t>
            </w:r>
          </w:p>
        </w:tc>
        <w:tc>
          <w:tcPr>
            <w:tcW w:w="1917" w:type="dxa"/>
            <w:vAlign w:val="center"/>
          </w:tcPr>
          <w:p w14:paraId="2C7B4CE5" w14:textId="77777777" w:rsidR="00000000" w:rsidRDefault="00000000">
            <w:pPr>
              <w:autoSpaceDE w:val="0"/>
              <w:autoSpaceDN w:val="0"/>
              <w:adjustRightInd w:val="0"/>
              <w:spacing w:line="326" w:lineRule="exact"/>
              <w:jc w:val="left"/>
              <w:rPr>
                <w:rFonts w:ascii="Times New Roman" w:eastAsia="方正楷体简体" w:hAnsi="Times New Roman"/>
                <w:color w:val="000000"/>
                <w:kern w:val="0"/>
                <w:sz w:val="24"/>
              </w:rPr>
            </w:pPr>
          </w:p>
        </w:tc>
        <w:tc>
          <w:tcPr>
            <w:tcW w:w="1377" w:type="dxa"/>
            <w:vAlign w:val="center"/>
          </w:tcPr>
          <w:p w14:paraId="1141BB92" w14:textId="77777777" w:rsidR="00000000" w:rsidRDefault="00000000">
            <w:pPr>
              <w:autoSpaceDE w:val="0"/>
              <w:autoSpaceDN w:val="0"/>
              <w:adjustRightInd w:val="0"/>
              <w:spacing w:line="326" w:lineRule="exact"/>
              <w:jc w:val="left"/>
              <w:rPr>
                <w:rFonts w:ascii="Times New Roman" w:eastAsia="方正楷体简体" w:hAnsi="Times New Roman"/>
                <w:color w:val="000000"/>
                <w:kern w:val="0"/>
                <w:sz w:val="24"/>
              </w:rPr>
            </w:pPr>
          </w:p>
        </w:tc>
      </w:tr>
      <w:tr w:rsidR="00000000" w14:paraId="04B73767" w14:textId="77777777">
        <w:trPr>
          <w:cantSplit/>
          <w:trHeight w:val="454"/>
          <w:jc w:val="center"/>
        </w:trPr>
        <w:tc>
          <w:tcPr>
            <w:tcW w:w="619" w:type="dxa"/>
            <w:vAlign w:val="center"/>
          </w:tcPr>
          <w:p w14:paraId="314D70E3" w14:textId="77777777" w:rsidR="00000000" w:rsidRDefault="00000000">
            <w:pPr>
              <w:autoSpaceDE w:val="0"/>
              <w:autoSpaceDN w:val="0"/>
              <w:adjustRightInd w:val="0"/>
              <w:spacing w:line="326"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18</w:t>
            </w:r>
          </w:p>
        </w:tc>
        <w:tc>
          <w:tcPr>
            <w:tcW w:w="9785" w:type="dxa"/>
            <w:vAlign w:val="center"/>
          </w:tcPr>
          <w:p w14:paraId="02F06FBD" w14:textId="77777777" w:rsidR="00000000" w:rsidRDefault="00000000">
            <w:pPr>
              <w:autoSpaceDE w:val="0"/>
              <w:autoSpaceDN w:val="0"/>
              <w:adjustRightInd w:val="0"/>
              <w:spacing w:line="326" w:lineRule="exact"/>
              <w:jc w:val="left"/>
              <w:rPr>
                <w:rFonts w:ascii="Times New Roman" w:hAnsi="Times New Roman"/>
                <w:color w:val="000000"/>
                <w:kern w:val="0"/>
                <w:sz w:val="24"/>
              </w:rPr>
            </w:pPr>
            <w:r>
              <w:rPr>
                <w:rFonts w:ascii="Times New Roman" w:hAnsi="Times New Roman"/>
                <w:color w:val="000000"/>
                <w:kern w:val="0"/>
                <w:sz w:val="24"/>
              </w:rPr>
              <w:t>充分发挥蚌埠市支持小微企业融资协调工作机制作用，参与建设全国融资信用服务平台（安徽）信用信息归集加工联合实验室，更好为企业提供增信、授信等服务。</w:t>
            </w:r>
          </w:p>
        </w:tc>
        <w:tc>
          <w:tcPr>
            <w:tcW w:w="1917" w:type="dxa"/>
            <w:vAlign w:val="center"/>
          </w:tcPr>
          <w:p w14:paraId="5CFB4CC5"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市发展改革委</w:t>
            </w:r>
          </w:p>
        </w:tc>
        <w:tc>
          <w:tcPr>
            <w:tcW w:w="1377" w:type="dxa"/>
            <w:vAlign w:val="center"/>
          </w:tcPr>
          <w:p w14:paraId="2FBD1ABB"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918123E" w14:textId="77777777">
        <w:trPr>
          <w:cantSplit/>
          <w:trHeight w:val="454"/>
          <w:jc w:val="center"/>
        </w:trPr>
        <w:tc>
          <w:tcPr>
            <w:tcW w:w="619" w:type="dxa"/>
            <w:vAlign w:val="center"/>
          </w:tcPr>
          <w:p w14:paraId="03D51821"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hint="eastAsia"/>
                <w:color w:val="000000"/>
                <w:kern w:val="0"/>
                <w:sz w:val="24"/>
              </w:rPr>
              <w:t>19</w:t>
            </w:r>
          </w:p>
        </w:tc>
        <w:tc>
          <w:tcPr>
            <w:tcW w:w="9785" w:type="dxa"/>
            <w:vAlign w:val="center"/>
          </w:tcPr>
          <w:p w14:paraId="210B55D3" w14:textId="77777777" w:rsidR="00000000" w:rsidRDefault="00000000">
            <w:pPr>
              <w:autoSpaceDE w:val="0"/>
              <w:autoSpaceDN w:val="0"/>
              <w:adjustRightInd w:val="0"/>
              <w:spacing w:line="326" w:lineRule="exact"/>
              <w:jc w:val="left"/>
              <w:rPr>
                <w:rFonts w:ascii="Times New Roman" w:hAnsi="Times New Roman"/>
                <w:color w:val="000000"/>
                <w:kern w:val="0"/>
                <w:sz w:val="24"/>
              </w:rPr>
            </w:pPr>
            <w:r>
              <w:rPr>
                <w:rFonts w:ascii="Times New Roman" w:hAnsi="Times New Roman"/>
                <w:color w:val="000000"/>
                <w:kern w:val="0"/>
                <w:sz w:val="24"/>
              </w:rPr>
              <w:t>完善融资服务对接机制，组织县区、行业主管部门摸排企业融资需求，开展万企融资对接蚌埠场活动，做到</w:t>
            </w:r>
            <w:r>
              <w:rPr>
                <w:rFonts w:ascii="宋体" w:hAnsi="宋体"/>
                <w:color w:val="000000"/>
                <w:kern w:val="0"/>
                <w:sz w:val="24"/>
              </w:rPr>
              <w:t>“</w:t>
            </w:r>
            <w:r>
              <w:rPr>
                <w:rFonts w:ascii="Times New Roman" w:hAnsi="Times New Roman"/>
                <w:color w:val="000000"/>
                <w:kern w:val="0"/>
                <w:sz w:val="24"/>
              </w:rPr>
              <w:t>能贷快贷</w:t>
            </w:r>
            <w:r>
              <w:rPr>
                <w:rFonts w:ascii="宋体" w:hAnsi="宋体"/>
                <w:color w:val="000000"/>
                <w:kern w:val="0"/>
                <w:sz w:val="24"/>
              </w:rPr>
              <w:t>”</w:t>
            </w:r>
            <w:r>
              <w:rPr>
                <w:rFonts w:ascii="Times New Roman" w:hAnsi="Times New Roman"/>
                <w:color w:val="000000"/>
                <w:kern w:val="0"/>
                <w:sz w:val="24"/>
              </w:rPr>
              <w:t>、费用合理。</w:t>
            </w:r>
          </w:p>
        </w:tc>
        <w:tc>
          <w:tcPr>
            <w:tcW w:w="1917" w:type="dxa"/>
            <w:vAlign w:val="center"/>
          </w:tcPr>
          <w:p w14:paraId="4AE83D18"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市财政局</w:t>
            </w:r>
          </w:p>
        </w:tc>
        <w:tc>
          <w:tcPr>
            <w:tcW w:w="1377" w:type="dxa"/>
            <w:vAlign w:val="center"/>
          </w:tcPr>
          <w:p w14:paraId="4A7C9976"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2F8E71B" w14:textId="77777777">
        <w:trPr>
          <w:cantSplit/>
          <w:trHeight w:val="454"/>
          <w:jc w:val="center"/>
        </w:trPr>
        <w:tc>
          <w:tcPr>
            <w:tcW w:w="619" w:type="dxa"/>
            <w:vAlign w:val="center"/>
          </w:tcPr>
          <w:p w14:paraId="1B80AE37" w14:textId="77777777" w:rsidR="00000000" w:rsidRDefault="00000000">
            <w:pPr>
              <w:autoSpaceDE w:val="0"/>
              <w:autoSpaceDN w:val="0"/>
              <w:adjustRightInd w:val="0"/>
              <w:spacing w:line="326" w:lineRule="exact"/>
              <w:jc w:val="center"/>
              <w:rPr>
                <w:rFonts w:ascii="Times New Roman" w:hAnsi="Times New Roman" w:hint="eastAsia"/>
                <w:color w:val="000000"/>
                <w:kern w:val="0"/>
                <w:sz w:val="24"/>
              </w:rPr>
            </w:pPr>
            <w:r>
              <w:rPr>
                <w:rFonts w:ascii="Times New Roman" w:hAnsi="Times New Roman"/>
                <w:color w:val="000000"/>
                <w:kern w:val="0"/>
                <w:sz w:val="24"/>
              </w:rPr>
              <w:t>2</w:t>
            </w:r>
            <w:r>
              <w:rPr>
                <w:rFonts w:ascii="Times New Roman" w:hAnsi="Times New Roman" w:hint="eastAsia"/>
                <w:color w:val="000000"/>
                <w:kern w:val="0"/>
                <w:sz w:val="24"/>
              </w:rPr>
              <w:t>0</w:t>
            </w:r>
          </w:p>
        </w:tc>
        <w:tc>
          <w:tcPr>
            <w:tcW w:w="9785" w:type="dxa"/>
            <w:vAlign w:val="center"/>
          </w:tcPr>
          <w:p w14:paraId="32A837B7" w14:textId="77777777" w:rsidR="00000000" w:rsidRDefault="00000000">
            <w:pPr>
              <w:autoSpaceDE w:val="0"/>
              <w:autoSpaceDN w:val="0"/>
              <w:adjustRightInd w:val="0"/>
              <w:spacing w:line="326" w:lineRule="exact"/>
              <w:jc w:val="left"/>
              <w:rPr>
                <w:rFonts w:ascii="Times New Roman" w:hAnsi="Times New Roman"/>
                <w:color w:val="000000"/>
                <w:kern w:val="0"/>
                <w:sz w:val="24"/>
              </w:rPr>
            </w:pPr>
            <w:r>
              <w:rPr>
                <w:rFonts w:ascii="Times New Roman" w:hAnsi="Times New Roman"/>
                <w:color w:val="000000"/>
                <w:kern w:val="0"/>
                <w:sz w:val="24"/>
              </w:rPr>
              <w:t>持续深化</w:t>
            </w:r>
            <w:r>
              <w:rPr>
                <w:rFonts w:ascii="宋体" w:hAnsi="宋体"/>
                <w:color w:val="000000"/>
                <w:kern w:val="0"/>
                <w:sz w:val="24"/>
              </w:rPr>
              <w:t>“</w:t>
            </w:r>
            <w:r>
              <w:rPr>
                <w:rFonts w:ascii="Times New Roman" w:hAnsi="Times New Roman"/>
                <w:color w:val="000000"/>
                <w:kern w:val="0"/>
                <w:sz w:val="24"/>
              </w:rPr>
              <w:t>中标贷</w:t>
            </w:r>
            <w:r>
              <w:rPr>
                <w:rFonts w:ascii="宋体" w:hAnsi="宋体"/>
                <w:color w:val="000000"/>
                <w:kern w:val="0"/>
                <w:sz w:val="24"/>
              </w:rPr>
              <w:t>”“</w:t>
            </w:r>
            <w:r>
              <w:rPr>
                <w:rFonts w:ascii="Times New Roman" w:hAnsi="Times New Roman"/>
                <w:color w:val="000000"/>
                <w:kern w:val="0"/>
                <w:sz w:val="24"/>
              </w:rPr>
              <w:t>政采贷</w:t>
            </w:r>
            <w:r>
              <w:rPr>
                <w:rFonts w:ascii="宋体" w:hAnsi="宋体"/>
                <w:color w:val="000000"/>
                <w:kern w:val="0"/>
                <w:sz w:val="24"/>
              </w:rPr>
              <w:t>”</w:t>
            </w:r>
            <w:r>
              <w:rPr>
                <w:rFonts w:ascii="Times New Roman" w:hAnsi="Times New Roman"/>
                <w:color w:val="000000"/>
                <w:kern w:val="0"/>
                <w:sz w:val="24"/>
              </w:rPr>
              <w:t>、融资租赁、知识产权质押融资等金融服务。鼓励金融机构加大碳金融等绿色金融产品创新，支持生态环境保护修复、绿色发展等重点领域项目。探索开展银行业金融机构绿色金融评估。</w:t>
            </w:r>
          </w:p>
        </w:tc>
        <w:tc>
          <w:tcPr>
            <w:tcW w:w="1917" w:type="dxa"/>
            <w:vAlign w:val="center"/>
          </w:tcPr>
          <w:p w14:paraId="7A6E491C"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人民银行蚌埠市分行、市财政局、国家金融监管</w:t>
            </w:r>
          </w:p>
          <w:p w14:paraId="73F7AB02"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总局蚌埠分局</w:t>
            </w:r>
          </w:p>
        </w:tc>
        <w:tc>
          <w:tcPr>
            <w:tcW w:w="1377" w:type="dxa"/>
            <w:vAlign w:val="center"/>
          </w:tcPr>
          <w:p w14:paraId="7F686508"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41C345F" w14:textId="77777777">
        <w:trPr>
          <w:cantSplit/>
          <w:trHeight w:val="454"/>
          <w:jc w:val="center"/>
        </w:trPr>
        <w:tc>
          <w:tcPr>
            <w:tcW w:w="619" w:type="dxa"/>
            <w:vAlign w:val="center"/>
          </w:tcPr>
          <w:p w14:paraId="01C6D2C0"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hint="eastAsia"/>
                <w:color w:val="000000"/>
                <w:kern w:val="0"/>
                <w:sz w:val="24"/>
              </w:rPr>
              <w:t>21</w:t>
            </w:r>
          </w:p>
        </w:tc>
        <w:tc>
          <w:tcPr>
            <w:tcW w:w="9785" w:type="dxa"/>
            <w:vAlign w:val="center"/>
          </w:tcPr>
          <w:p w14:paraId="438FBE5B" w14:textId="77777777" w:rsidR="00000000" w:rsidRDefault="00000000">
            <w:pPr>
              <w:autoSpaceDE w:val="0"/>
              <w:autoSpaceDN w:val="0"/>
              <w:adjustRightInd w:val="0"/>
              <w:spacing w:line="326" w:lineRule="exact"/>
              <w:jc w:val="left"/>
              <w:rPr>
                <w:rFonts w:ascii="Times New Roman" w:hAnsi="Times New Roman"/>
                <w:color w:val="000000"/>
                <w:kern w:val="0"/>
                <w:sz w:val="24"/>
              </w:rPr>
            </w:pPr>
            <w:r>
              <w:rPr>
                <w:rFonts w:ascii="Times New Roman" w:hAnsi="Times New Roman"/>
                <w:color w:val="000000"/>
                <w:kern w:val="0"/>
                <w:sz w:val="24"/>
              </w:rPr>
              <w:t>推进创业担保贷款扩面增量、线上办理，降低创业担保贷款利率上限，减轻创业者负担，更好落实国家创业就业政策。</w:t>
            </w:r>
          </w:p>
        </w:tc>
        <w:tc>
          <w:tcPr>
            <w:tcW w:w="1917" w:type="dxa"/>
            <w:vAlign w:val="center"/>
          </w:tcPr>
          <w:p w14:paraId="7C868226"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市人力资源和</w:t>
            </w:r>
          </w:p>
          <w:p w14:paraId="4F3BDB86"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社会保障局</w:t>
            </w:r>
          </w:p>
        </w:tc>
        <w:tc>
          <w:tcPr>
            <w:tcW w:w="1377" w:type="dxa"/>
            <w:vAlign w:val="center"/>
          </w:tcPr>
          <w:p w14:paraId="466176ED"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6</w:t>
            </w:r>
            <w:r>
              <w:rPr>
                <w:rFonts w:ascii="Times New Roman" w:hAnsi="Times New Roman"/>
                <w:color w:val="000000"/>
                <w:kern w:val="0"/>
                <w:sz w:val="24"/>
              </w:rPr>
              <w:t>月</w:t>
            </w:r>
          </w:p>
        </w:tc>
      </w:tr>
      <w:tr w:rsidR="00000000" w14:paraId="66115CD8" w14:textId="77777777">
        <w:trPr>
          <w:cantSplit/>
          <w:trHeight w:val="454"/>
          <w:jc w:val="center"/>
        </w:trPr>
        <w:tc>
          <w:tcPr>
            <w:tcW w:w="619" w:type="dxa"/>
            <w:vAlign w:val="center"/>
          </w:tcPr>
          <w:p w14:paraId="6911E4EB"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hint="eastAsia"/>
                <w:color w:val="000000"/>
                <w:kern w:val="0"/>
                <w:sz w:val="24"/>
              </w:rPr>
              <w:t>22</w:t>
            </w:r>
          </w:p>
        </w:tc>
        <w:tc>
          <w:tcPr>
            <w:tcW w:w="9785" w:type="dxa"/>
            <w:vAlign w:val="center"/>
          </w:tcPr>
          <w:p w14:paraId="6E88055A" w14:textId="77777777" w:rsidR="00000000" w:rsidRDefault="00000000">
            <w:pPr>
              <w:autoSpaceDE w:val="0"/>
              <w:autoSpaceDN w:val="0"/>
              <w:adjustRightInd w:val="0"/>
              <w:spacing w:line="326" w:lineRule="exact"/>
              <w:jc w:val="left"/>
              <w:rPr>
                <w:rFonts w:ascii="Times New Roman" w:hAnsi="Times New Roman"/>
                <w:color w:val="000000"/>
                <w:kern w:val="0"/>
                <w:sz w:val="24"/>
              </w:rPr>
            </w:pPr>
            <w:r>
              <w:rPr>
                <w:rFonts w:ascii="Times New Roman" w:hAnsi="Times New Roman"/>
                <w:color w:val="000000"/>
                <w:kern w:val="0"/>
                <w:sz w:val="24"/>
              </w:rPr>
              <w:t>推动银行业金融机构完善普惠信贷尽职免责工作机制，按照不同岗位、不同类型产品明确尽职认定标准，细化应免责、可减责免责及不得免责等情形，合理确定不良容忍度。</w:t>
            </w:r>
          </w:p>
        </w:tc>
        <w:tc>
          <w:tcPr>
            <w:tcW w:w="1917" w:type="dxa"/>
            <w:vAlign w:val="center"/>
          </w:tcPr>
          <w:p w14:paraId="734242CE"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国家金融监管</w:t>
            </w:r>
          </w:p>
          <w:p w14:paraId="5009D571"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总局蚌埠分局</w:t>
            </w:r>
          </w:p>
        </w:tc>
        <w:tc>
          <w:tcPr>
            <w:tcW w:w="1377" w:type="dxa"/>
            <w:vAlign w:val="center"/>
          </w:tcPr>
          <w:p w14:paraId="244E2C97"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7BDD6511" w14:textId="77777777">
        <w:trPr>
          <w:cantSplit/>
          <w:trHeight w:val="454"/>
          <w:jc w:val="center"/>
        </w:trPr>
        <w:tc>
          <w:tcPr>
            <w:tcW w:w="619" w:type="dxa"/>
            <w:vAlign w:val="center"/>
          </w:tcPr>
          <w:p w14:paraId="4323A8F4"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hint="eastAsia"/>
                <w:color w:val="000000"/>
                <w:kern w:val="0"/>
                <w:sz w:val="24"/>
              </w:rPr>
              <w:t>23</w:t>
            </w:r>
          </w:p>
        </w:tc>
        <w:tc>
          <w:tcPr>
            <w:tcW w:w="9785" w:type="dxa"/>
            <w:vAlign w:val="center"/>
          </w:tcPr>
          <w:p w14:paraId="4A15745A" w14:textId="77777777" w:rsidR="00000000" w:rsidRDefault="00000000">
            <w:pPr>
              <w:autoSpaceDE w:val="0"/>
              <w:autoSpaceDN w:val="0"/>
              <w:adjustRightInd w:val="0"/>
              <w:spacing w:line="326" w:lineRule="exact"/>
              <w:jc w:val="left"/>
              <w:rPr>
                <w:rFonts w:ascii="Times New Roman" w:hAnsi="Times New Roman"/>
                <w:color w:val="000000"/>
                <w:kern w:val="0"/>
                <w:sz w:val="24"/>
              </w:rPr>
            </w:pPr>
            <w:r>
              <w:rPr>
                <w:rFonts w:ascii="Times New Roman" w:hAnsi="Times New Roman"/>
                <w:color w:val="000000"/>
                <w:kern w:val="0"/>
                <w:sz w:val="24"/>
              </w:rPr>
              <w:t>探索建立涉诉企业信息澄清机制，法院根据商事案件涉诉企业申请，向金融机构出具涉诉信息的情况说明，降低企业因涉诉被停贷、抽贷的风险。</w:t>
            </w:r>
          </w:p>
        </w:tc>
        <w:tc>
          <w:tcPr>
            <w:tcW w:w="1917" w:type="dxa"/>
            <w:vAlign w:val="center"/>
          </w:tcPr>
          <w:p w14:paraId="341D8720"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市中级人民法院</w:t>
            </w:r>
          </w:p>
        </w:tc>
        <w:tc>
          <w:tcPr>
            <w:tcW w:w="1377" w:type="dxa"/>
            <w:vAlign w:val="center"/>
          </w:tcPr>
          <w:p w14:paraId="6BD595B6"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2A4038A" w14:textId="77777777">
        <w:trPr>
          <w:cantSplit/>
          <w:trHeight w:val="454"/>
          <w:jc w:val="center"/>
        </w:trPr>
        <w:tc>
          <w:tcPr>
            <w:tcW w:w="10404" w:type="dxa"/>
            <w:gridSpan w:val="2"/>
            <w:vAlign w:val="center"/>
          </w:tcPr>
          <w:p w14:paraId="777B4A6A" w14:textId="77777777" w:rsidR="00000000" w:rsidRDefault="00000000">
            <w:pPr>
              <w:autoSpaceDE w:val="0"/>
              <w:autoSpaceDN w:val="0"/>
              <w:adjustRightInd w:val="0"/>
              <w:spacing w:line="326"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lastRenderedPageBreak/>
              <w:t>（十一）</w:t>
            </w:r>
            <w:r>
              <w:rPr>
                <w:rFonts w:ascii="Times New Roman" w:eastAsia="方正楷体简体" w:hAnsi="Times New Roman"/>
                <w:color w:val="000000"/>
                <w:kern w:val="0"/>
                <w:sz w:val="24"/>
              </w:rPr>
              <w:t xml:space="preserve"> </w:t>
            </w:r>
            <w:r>
              <w:rPr>
                <w:rFonts w:ascii="Times New Roman" w:eastAsia="方正楷体简体" w:hAnsi="Times New Roman"/>
                <w:color w:val="000000"/>
                <w:kern w:val="0"/>
                <w:sz w:val="24"/>
              </w:rPr>
              <w:t>加强土地要素保障。</w:t>
            </w:r>
          </w:p>
        </w:tc>
        <w:tc>
          <w:tcPr>
            <w:tcW w:w="1917" w:type="dxa"/>
            <w:vAlign w:val="center"/>
          </w:tcPr>
          <w:p w14:paraId="4FE2AD7B" w14:textId="77777777" w:rsidR="00000000" w:rsidRDefault="00000000">
            <w:pPr>
              <w:autoSpaceDE w:val="0"/>
              <w:autoSpaceDN w:val="0"/>
              <w:adjustRightInd w:val="0"/>
              <w:spacing w:line="326" w:lineRule="exact"/>
              <w:jc w:val="left"/>
              <w:rPr>
                <w:rFonts w:ascii="Times New Roman" w:eastAsia="方正楷体简体" w:hAnsi="Times New Roman"/>
                <w:color w:val="000000"/>
                <w:kern w:val="0"/>
                <w:sz w:val="24"/>
              </w:rPr>
            </w:pPr>
          </w:p>
        </w:tc>
        <w:tc>
          <w:tcPr>
            <w:tcW w:w="1377" w:type="dxa"/>
            <w:vAlign w:val="center"/>
          </w:tcPr>
          <w:p w14:paraId="462633F4" w14:textId="77777777" w:rsidR="00000000" w:rsidRDefault="00000000">
            <w:pPr>
              <w:autoSpaceDE w:val="0"/>
              <w:autoSpaceDN w:val="0"/>
              <w:adjustRightInd w:val="0"/>
              <w:spacing w:line="326" w:lineRule="exact"/>
              <w:jc w:val="left"/>
              <w:rPr>
                <w:rFonts w:ascii="Times New Roman" w:eastAsia="方正楷体简体" w:hAnsi="Times New Roman"/>
                <w:color w:val="000000"/>
                <w:kern w:val="0"/>
                <w:sz w:val="24"/>
              </w:rPr>
            </w:pPr>
          </w:p>
        </w:tc>
      </w:tr>
      <w:tr w:rsidR="00000000" w14:paraId="3979727B" w14:textId="77777777">
        <w:trPr>
          <w:cantSplit/>
          <w:trHeight w:val="454"/>
          <w:jc w:val="center"/>
        </w:trPr>
        <w:tc>
          <w:tcPr>
            <w:tcW w:w="619" w:type="dxa"/>
            <w:vAlign w:val="center"/>
          </w:tcPr>
          <w:p w14:paraId="29288E31" w14:textId="77777777" w:rsidR="00000000" w:rsidRDefault="00000000">
            <w:pPr>
              <w:autoSpaceDE w:val="0"/>
              <w:autoSpaceDN w:val="0"/>
              <w:adjustRightInd w:val="0"/>
              <w:spacing w:line="326"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24</w:t>
            </w:r>
          </w:p>
        </w:tc>
        <w:tc>
          <w:tcPr>
            <w:tcW w:w="9785" w:type="dxa"/>
            <w:vAlign w:val="center"/>
          </w:tcPr>
          <w:p w14:paraId="13E3A51A" w14:textId="77777777" w:rsidR="00000000" w:rsidRDefault="00000000">
            <w:pPr>
              <w:autoSpaceDE w:val="0"/>
              <w:autoSpaceDN w:val="0"/>
              <w:adjustRightInd w:val="0"/>
              <w:spacing w:line="326" w:lineRule="exact"/>
              <w:jc w:val="left"/>
              <w:rPr>
                <w:rFonts w:ascii="Times New Roman" w:hAnsi="Times New Roman" w:hint="eastAsia"/>
                <w:color w:val="000000"/>
                <w:kern w:val="0"/>
                <w:sz w:val="24"/>
              </w:rPr>
            </w:pPr>
            <w:r>
              <w:rPr>
                <w:rFonts w:ascii="Times New Roman" w:hAnsi="Times New Roman"/>
                <w:color w:val="000000"/>
                <w:kern w:val="0"/>
                <w:sz w:val="24"/>
              </w:rPr>
              <w:t>加强土地利用效能评估，优化土地供应模式。引导新上项目优先使用存量建设用地。深入实施批而未供、闲置和工业低效用地处置。</w:t>
            </w:r>
            <w:r>
              <w:rPr>
                <w:rFonts w:ascii="Times New Roman" w:hAnsi="Times New Roman"/>
                <w:color w:val="000000"/>
                <w:kern w:val="0"/>
                <w:sz w:val="24"/>
              </w:rPr>
              <w:t>2025</w:t>
            </w:r>
            <w:r>
              <w:rPr>
                <w:rFonts w:ascii="Times New Roman" w:hAnsi="Times New Roman"/>
                <w:color w:val="000000"/>
                <w:kern w:val="0"/>
                <w:sz w:val="24"/>
              </w:rPr>
              <w:t>年批而未供处置率不低于</w:t>
            </w:r>
            <w:r>
              <w:rPr>
                <w:rFonts w:ascii="Times New Roman" w:hAnsi="Times New Roman"/>
                <w:color w:val="000000"/>
                <w:kern w:val="0"/>
                <w:sz w:val="24"/>
              </w:rPr>
              <w:t>25%</w:t>
            </w:r>
            <w:r>
              <w:rPr>
                <w:rFonts w:ascii="Times New Roman" w:hAnsi="Times New Roman"/>
                <w:color w:val="000000"/>
                <w:kern w:val="0"/>
                <w:sz w:val="24"/>
              </w:rPr>
              <w:t>，闲置土地处置率不低于</w:t>
            </w:r>
            <w:r>
              <w:rPr>
                <w:rFonts w:ascii="Times New Roman" w:hAnsi="Times New Roman"/>
                <w:color w:val="000000"/>
                <w:kern w:val="0"/>
                <w:sz w:val="24"/>
              </w:rPr>
              <w:t>15%</w:t>
            </w:r>
            <w:r>
              <w:rPr>
                <w:rFonts w:ascii="Times New Roman" w:hAnsi="Times New Roman"/>
                <w:color w:val="000000"/>
                <w:kern w:val="0"/>
                <w:sz w:val="24"/>
              </w:rPr>
              <w:t>，盘活工业低效用地不低于</w:t>
            </w:r>
            <w:r>
              <w:rPr>
                <w:rFonts w:ascii="Times New Roman" w:hAnsi="Times New Roman"/>
                <w:color w:val="000000"/>
                <w:kern w:val="0"/>
                <w:sz w:val="24"/>
              </w:rPr>
              <w:t>2000</w:t>
            </w:r>
            <w:r>
              <w:rPr>
                <w:rFonts w:ascii="Times New Roman" w:hAnsi="Times New Roman"/>
                <w:color w:val="000000"/>
                <w:kern w:val="0"/>
                <w:sz w:val="24"/>
              </w:rPr>
              <w:t>亩</w:t>
            </w:r>
            <w:r>
              <w:rPr>
                <w:rFonts w:ascii="Times New Roman" w:hAnsi="Times New Roman" w:hint="eastAsia"/>
                <w:color w:val="000000"/>
                <w:kern w:val="0"/>
                <w:sz w:val="24"/>
              </w:rPr>
              <w:t>。</w:t>
            </w:r>
          </w:p>
        </w:tc>
        <w:tc>
          <w:tcPr>
            <w:tcW w:w="1917" w:type="dxa"/>
            <w:vAlign w:val="center"/>
          </w:tcPr>
          <w:p w14:paraId="1F418BDF"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市自然资源和</w:t>
            </w:r>
          </w:p>
          <w:p w14:paraId="309FB10C"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规划局</w:t>
            </w:r>
          </w:p>
        </w:tc>
        <w:tc>
          <w:tcPr>
            <w:tcW w:w="1377" w:type="dxa"/>
            <w:vAlign w:val="center"/>
          </w:tcPr>
          <w:p w14:paraId="7957D453" w14:textId="77777777" w:rsidR="00000000" w:rsidRDefault="00000000">
            <w:pPr>
              <w:autoSpaceDE w:val="0"/>
              <w:autoSpaceDN w:val="0"/>
              <w:adjustRightInd w:val="0"/>
              <w:spacing w:line="32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8B71385" w14:textId="77777777">
        <w:trPr>
          <w:cantSplit/>
          <w:trHeight w:val="454"/>
          <w:jc w:val="center"/>
        </w:trPr>
        <w:tc>
          <w:tcPr>
            <w:tcW w:w="619" w:type="dxa"/>
            <w:vAlign w:val="center"/>
          </w:tcPr>
          <w:p w14:paraId="0329BC1E"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hint="eastAsia"/>
                <w:color w:val="000000"/>
                <w:kern w:val="0"/>
                <w:sz w:val="24"/>
              </w:rPr>
              <w:t>25</w:t>
            </w:r>
          </w:p>
        </w:tc>
        <w:tc>
          <w:tcPr>
            <w:tcW w:w="9785" w:type="dxa"/>
            <w:vAlign w:val="center"/>
          </w:tcPr>
          <w:p w14:paraId="73227FCC"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推动工业用地混合复合利用，支持有条件的开发区推进</w:t>
            </w:r>
            <w:r>
              <w:rPr>
                <w:rFonts w:ascii="宋体" w:hAnsi="宋体"/>
                <w:color w:val="000000"/>
                <w:kern w:val="0"/>
                <w:sz w:val="24"/>
              </w:rPr>
              <w:t>“</w:t>
            </w:r>
            <w:r>
              <w:rPr>
                <w:rFonts w:ascii="Times New Roman" w:hAnsi="Times New Roman"/>
                <w:color w:val="000000"/>
                <w:kern w:val="0"/>
                <w:sz w:val="24"/>
              </w:rPr>
              <w:t xml:space="preserve"> </w:t>
            </w:r>
            <w:r>
              <w:rPr>
                <w:rFonts w:ascii="Times New Roman" w:hAnsi="Times New Roman"/>
                <w:color w:val="000000"/>
                <w:kern w:val="0"/>
                <w:sz w:val="24"/>
              </w:rPr>
              <w:t>工业上楼</w:t>
            </w:r>
            <w:r>
              <w:rPr>
                <w:rFonts w:ascii="宋体" w:hAnsi="宋体"/>
                <w:color w:val="000000"/>
                <w:kern w:val="0"/>
                <w:sz w:val="24"/>
              </w:rPr>
              <w:t>”</w:t>
            </w:r>
            <w:r>
              <w:rPr>
                <w:rFonts w:ascii="Times New Roman" w:hAnsi="Times New Roman"/>
                <w:color w:val="000000"/>
                <w:kern w:val="0"/>
                <w:sz w:val="24"/>
              </w:rPr>
              <w:t>。</w:t>
            </w:r>
          </w:p>
        </w:tc>
        <w:tc>
          <w:tcPr>
            <w:tcW w:w="1917" w:type="dxa"/>
            <w:vAlign w:val="center"/>
          </w:tcPr>
          <w:p w14:paraId="0D8D9818"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市自然资源和</w:t>
            </w:r>
          </w:p>
          <w:p w14:paraId="0C10992E"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规划局</w:t>
            </w:r>
          </w:p>
        </w:tc>
        <w:tc>
          <w:tcPr>
            <w:tcW w:w="1377" w:type="dxa"/>
            <w:vAlign w:val="center"/>
          </w:tcPr>
          <w:p w14:paraId="73D11F9F"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CD10C94" w14:textId="77777777">
        <w:trPr>
          <w:cantSplit/>
          <w:trHeight w:val="454"/>
          <w:jc w:val="center"/>
        </w:trPr>
        <w:tc>
          <w:tcPr>
            <w:tcW w:w="10404" w:type="dxa"/>
            <w:gridSpan w:val="2"/>
            <w:vAlign w:val="center"/>
          </w:tcPr>
          <w:p w14:paraId="6274996D" w14:textId="77777777" w:rsidR="00000000" w:rsidRDefault="00000000">
            <w:pPr>
              <w:autoSpaceDE w:val="0"/>
              <w:autoSpaceDN w:val="0"/>
              <w:adjustRightInd w:val="0"/>
              <w:spacing w:line="340" w:lineRule="exact"/>
              <w:jc w:val="left"/>
              <w:rPr>
                <w:rFonts w:ascii="Times New Roman" w:eastAsia="方正黑体简体" w:hAnsi="Times New Roman"/>
                <w:color w:val="000000"/>
                <w:kern w:val="0"/>
                <w:sz w:val="24"/>
              </w:rPr>
            </w:pPr>
            <w:r>
              <w:rPr>
                <w:rFonts w:ascii="Times New Roman" w:eastAsia="方正黑体简体" w:hAnsi="Times New Roman"/>
                <w:color w:val="000000"/>
                <w:kern w:val="0"/>
                <w:sz w:val="24"/>
              </w:rPr>
              <w:t>二、推进法治化营商环境建设</w:t>
            </w:r>
          </w:p>
        </w:tc>
        <w:tc>
          <w:tcPr>
            <w:tcW w:w="1917" w:type="dxa"/>
            <w:vAlign w:val="center"/>
          </w:tcPr>
          <w:p w14:paraId="2E2EC8B6" w14:textId="77777777" w:rsidR="00000000" w:rsidRDefault="00000000">
            <w:pPr>
              <w:autoSpaceDE w:val="0"/>
              <w:autoSpaceDN w:val="0"/>
              <w:adjustRightInd w:val="0"/>
              <w:spacing w:line="340" w:lineRule="exact"/>
              <w:jc w:val="left"/>
              <w:rPr>
                <w:rFonts w:ascii="Times New Roman" w:eastAsia="方正黑体简体" w:hAnsi="Times New Roman"/>
                <w:color w:val="000000"/>
                <w:kern w:val="0"/>
                <w:sz w:val="24"/>
              </w:rPr>
            </w:pPr>
          </w:p>
        </w:tc>
        <w:tc>
          <w:tcPr>
            <w:tcW w:w="1377" w:type="dxa"/>
            <w:vAlign w:val="center"/>
          </w:tcPr>
          <w:p w14:paraId="53D6A6FD" w14:textId="77777777" w:rsidR="00000000" w:rsidRDefault="00000000">
            <w:pPr>
              <w:autoSpaceDE w:val="0"/>
              <w:autoSpaceDN w:val="0"/>
              <w:adjustRightInd w:val="0"/>
              <w:spacing w:line="340" w:lineRule="exact"/>
              <w:jc w:val="left"/>
              <w:rPr>
                <w:rFonts w:ascii="Times New Roman" w:eastAsia="方正黑体简体" w:hAnsi="Times New Roman"/>
                <w:color w:val="000000"/>
                <w:kern w:val="0"/>
                <w:sz w:val="24"/>
              </w:rPr>
            </w:pPr>
          </w:p>
        </w:tc>
      </w:tr>
      <w:tr w:rsidR="00000000" w14:paraId="521469E1" w14:textId="77777777">
        <w:trPr>
          <w:cantSplit/>
          <w:trHeight w:val="454"/>
          <w:jc w:val="center"/>
        </w:trPr>
        <w:tc>
          <w:tcPr>
            <w:tcW w:w="10404" w:type="dxa"/>
            <w:gridSpan w:val="2"/>
            <w:vAlign w:val="center"/>
          </w:tcPr>
          <w:p w14:paraId="2ADC6D59"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（十二）健全优化营商环境制度体系。</w:t>
            </w:r>
          </w:p>
        </w:tc>
        <w:tc>
          <w:tcPr>
            <w:tcW w:w="1917" w:type="dxa"/>
            <w:vAlign w:val="center"/>
          </w:tcPr>
          <w:p w14:paraId="655BB23E"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09D1D63C"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5515F96F" w14:textId="77777777">
        <w:trPr>
          <w:cantSplit/>
          <w:trHeight w:val="454"/>
          <w:jc w:val="center"/>
        </w:trPr>
        <w:tc>
          <w:tcPr>
            <w:tcW w:w="619" w:type="dxa"/>
            <w:vAlign w:val="center"/>
          </w:tcPr>
          <w:p w14:paraId="742EAB69"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2</w:t>
            </w:r>
            <w:r>
              <w:rPr>
                <w:rFonts w:ascii="Times New Roman" w:eastAsia="方正楷体简体" w:hAnsi="Times New Roman"/>
                <w:color w:val="000000"/>
                <w:kern w:val="0"/>
                <w:sz w:val="24"/>
              </w:rPr>
              <w:t>6</w:t>
            </w:r>
          </w:p>
        </w:tc>
        <w:tc>
          <w:tcPr>
            <w:tcW w:w="9785" w:type="dxa"/>
            <w:vAlign w:val="center"/>
          </w:tcPr>
          <w:p w14:paraId="3D72D0B5"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按照</w:t>
            </w:r>
            <w:r>
              <w:rPr>
                <w:rFonts w:ascii="宋体" w:hAnsi="宋体"/>
                <w:color w:val="000000"/>
                <w:kern w:val="0"/>
                <w:sz w:val="24"/>
              </w:rPr>
              <w:t>“</w:t>
            </w:r>
            <w:r>
              <w:rPr>
                <w:rFonts w:ascii="Times New Roman" w:hAnsi="Times New Roman"/>
                <w:color w:val="000000"/>
                <w:kern w:val="0"/>
                <w:sz w:val="24"/>
              </w:rPr>
              <w:t>谁制定、谁清理</w:t>
            </w:r>
            <w:r>
              <w:rPr>
                <w:rFonts w:ascii="宋体" w:hAnsi="宋体"/>
                <w:color w:val="000000"/>
                <w:kern w:val="0"/>
                <w:sz w:val="24"/>
              </w:rPr>
              <w:t>”“</w:t>
            </w:r>
            <w:r>
              <w:rPr>
                <w:rFonts w:ascii="Times New Roman" w:hAnsi="Times New Roman"/>
                <w:color w:val="000000"/>
                <w:kern w:val="0"/>
                <w:sz w:val="24"/>
              </w:rPr>
              <w:t>谁起草、谁清理</w:t>
            </w:r>
            <w:r>
              <w:rPr>
                <w:rFonts w:ascii="宋体" w:hAnsi="宋体"/>
                <w:color w:val="000000"/>
                <w:kern w:val="0"/>
                <w:sz w:val="24"/>
              </w:rPr>
              <w:t>”</w:t>
            </w:r>
            <w:r>
              <w:rPr>
                <w:rFonts w:ascii="Times New Roman" w:hAnsi="Times New Roman"/>
                <w:color w:val="000000"/>
                <w:kern w:val="0"/>
                <w:sz w:val="24"/>
              </w:rPr>
              <w:t>的原则，对涉及营商环境法规、规章、行政规范性文件及政策</w:t>
            </w:r>
            <w:r>
              <w:rPr>
                <w:rFonts w:ascii="宋体" w:hAnsi="宋体"/>
                <w:color w:val="000000"/>
                <w:kern w:val="0"/>
                <w:sz w:val="24"/>
              </w:rPr>
              <w:t>“</w:t>
            </w:r>
            <w:r>
              <w:rPr>
                <w:rFonts w:ascii="Times New Roman" w:hAnsi="Times New Roman"/>
                <w:color w:val="000000"/>
                <w:kern w:val="0"/>
                <w:sz w:val="24"/>
              </w:rPr>
              <w:t>立改废</w:t>
            </w:r>
            <w:r>
              <w:rPr>
                <w:rFonts w:ascii="宋体" w:hAnsi="宋体"/>
                <w:color w:val="000000"/>
                <w:kern w:val="0"/>
                <w:sz w:val="24"/>
              </w:rPr>
              <w:t>”</w:t>
            </w:r>
            <w:r>
              <w:rPr>
                <w:rFonts w:ascii="Times New Roman" w:hAnsi="Times New Roman"/>
                <w:color w:val="000000"/>
                <w:kern w:val="0"/>
                <w:sz w:val="24"/>
              </w:rPr>
              <w:t>，落实制定涉企政策充分听取经营主体、行业商协会等意见要求。</w:t>
            </w:r>
          </w:p>
        </w:tc>
        <w:tc>
          <w:tcPr>
            <w:tcW w:w="1917" w:type="dxa"/>
            <w:vAlign w:val="center"/>
          </w:tcPr>
          <w:p w14:paraId="78BD8971"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市司法局</w:t>
            </w:r>
          </w:p>
        </w:tc>
        <w:tc>
          <w:tcPr>
            <w:tcW w:w="1377" w:type="dxa"/>
            <w:vAlign w:val="center"/>
          </w:tcPr>
          <w:p w14:paraId="1A4E9E27"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CD30507" w14:textId="77777777">
        <w:trPr>
          <w:cantSplit/>
          <w:trHeight w:val="454"/>
          <w:jc w:val="center"/>
        </w:trPr>
        <w:tc>
          <w:tcPr>
            <w:tcW w:w="619" w:type="dxa"/>
            <w:vAlign w:val="center"/>
          </w:tcPr>
          <w:p w14:paraId="470F0B2A"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hint="eastAsia"/>
                <w:color w:val="000000"/>
                <w:kern w:val="0"/>
                <w:sz w:val="24"/>
              </w:rPr>
              <w:t>2</w:t>
            </w:r>
            <w:r>
              <w:rPr>
                <w:rFonts w:ascii="Times New Roman" w:hAnsi="Times New Roman"/>
                <w:color w:val="000000"/>
                <w:kern w:val="0"/>
                <w:sz w:val="24"/>
              </w:rPr>
              <w:t>7</w:t>
            </w:r>
          </w:p>
        </w:tc>
        <w:tc>
          <w:tcPr>
            <w:tcW w:w="9785" w:type="dxa"/>
            <w:vAlign w:val="center"/>
          </w:tcPr>
          <w:p w14:paraId="272C1D0E"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建立健全经济政策和非经济政策与宏观政策取向一致性评估机制。避免政策</w:t>
            </w:r>
            <w:r>
              <w:rPr>
                <w:rFonts w:ascii="宋体" w:hAnsi="宋体"/>
                <w:color w:val="000000"/>
                <w:kern w:val="0"/>
                <w:sz w:val="24"/>
              </w:rPr>
              <w:t>“</w:t>
            </w:r>
            <w:r>
              <w:rPr>
                <w:rFonts w:ascii="Times New Roman" w:hAnsi="Times New Roman"/>
                <w:color w:val="000000"/>
                <w:kern w:val="0"/>
                <w:sz w:val="24"/>
              </w:rPr>
              <w:t>合成谬误</w:t>
            </w:r>
            <w:r>
              <w:rPr>
                <w:rFonts w:ascii="宋体" w:hAnsi="宋体"/>
                <w:color w:val="000000"/>
                <w:kern w:val="0"/>
                <w:sz w:val="24"/>
              </w:rPr>
              <w:t>”</w:t>
            </w:r>
            <w:r>
              <w:rPr>
                <w:rFonts w:ascii="Times New Roman" w:hAnsi="Times New Roman"/>
                <w:color w:val="000000"/>
                <w:kern w:val="0"/>
                <w:sz w:val="24"/>
              </w:rPr>
              <w:t>。探索引入第三方机构评估，提升评估的独立性和客观性。</w:t>
            </w:r>
          </w:p>
        </w:tc>
        <w:tc>
          <w:tcPr>
            <w:tcW w:w="1917" w:type="dxa"/>
            <w:vAlign w:val="center"/>
          </w:tcPr>
          <w:p w14:paraId="626370E9"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hint="eastAsia"/>
                <w:color w:val="000000"/>
                <w:kern w:val="0"/>
                <w:sz w:val="24"/>
              </w:rPr>
              <w:t>市</w:t>
            </w:r>
            <w:r>
              <w:rPr>
                <w:rFonts w:ascii="Times New Roman" w:hAnsi="Times New Roman"/>
                <w:color w:val="000000"/>
                <w:kern w:val="0"/>
                <w:sz w:val="24"/>
              </w:rPr>
              <w:t>发展改革委</w:t>
            </w:r>
          </w:p>
        </w:tc>
        <w:tc>
          <w:tcPr>
            <w:tcW w:w="1377" w:type="dxa"/>
            <w:vAlign w:val="center"/>
          </w:tcPr>
          <w:p w14:paraId="1BEF77C8"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D715BB0" w14:textId="77777777">
        <w:trPr>
          <w:cantSplit/>
          <w:trHeight w:val="454"/>
          <w:jc w:val="center"/>
        </w:trPr>
        <w:tc>
          <w:tcPr>
            <w:tcW w:w="10404" w:type="dxa"/>
            <w:gridSpan w:val="2"/>
            <w:vAlign w:val="center"/>
          </w:tcPr>
          <w:p w14:paraId="5674C16C"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（十三）加强行政复议附带审查规范性文件工作。</w:t>
            </w:r>
          </w:p>
        </w:tc>
        <w:tc>
          <w:tcPr>
            <w:tcW w:w="1917" w:type="dxa"/>
            <w:vAlign w:val="center"/>
          </w:tcPr>
          <w:p w14:paraId="582D2AF1"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57D5502B"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27DF11F8" w14:textId="77777777">
        <w:trPr>
          <w:cantSplit/>
          <w:trHeight w:val="454"/>
          <w:jc w:val="center"/>
        </w:trPr>
        <w:tc>
          <w:tcPr>
            <w:tcW w:w="619" w:type="dxa"/>
            <w:vAlign w:val="center"/>
          </w:tcPr>
          <w:p w14:paraId="70D72F26"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2</w:t>
            </w:r>
            <w:r>
              <w:rPr>
                <w:rFonts w:ascii="Times New Roman" w:eastAsia="方正楷体简体" w:hAnsi="Times New Roman"/>
                <w:color w:val="000000"/>
                <w:kern w:val="0"/>
                <w:sz w:val="24"/>
              </w:rPr>
              <w:t>8</w:t>
            </w:r>
          </w:p>
        </w:tc>
        <w:tc>
          <w:tcPr>
            <w:tcW w:w="9785" w:type="dxa"/>
            <w:vAlign w:val="center"/>
          </w:tcPr>
          <w:p w14:paraId="0A38B833"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行政复议机构在审理涉企行政复议案件时，不以企业提出为条件，主动开展相关规范性文件审查，及时纠正超越职权和违反上位法的文件。</w:t>
            </w:r>
          </w:p>
        </w:tc>
        <w:tc>
          <w:tcPr>
            <w:tcW w:w="1917" w:type="dxa"/>
            <w:vAlign w:val="center"/>
          </w:tcPr>
          <w:p w14:paraId="3CFF2583"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市司法局</w:t>
            </w:r>
          </w:p>
        </w:tc>
        <w:tc>
          <w:tcPr>
            <w:tcW w:w="1377" w:type="dxa"/>
            <w:vAlign w:val="center"/>
          </w:tcPr>
          <w:p w14:paraId="234EFA25"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4EB72B8" w14:textId="77777777">
        <w:trPr>
          <w:cantSplit/>
          <w:trHeight w:val="454"/>
          <w:jc w:val="center"/>
        </w:trPr>
        <w:tc>
          <w:tcPr>
            <w:tcW w:w="10404" w:type="dxa"/>
            <w:gridSpan w:val="2"/>
            <w:vAlign w:val="center"/>
          </w:tcPr>
          <w:p w14:paraId="33C1173C"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（十四）规范行政裁量权行使。</w:t>
            </w:r>
          </w:p>
        </w:tc>
        <w:tc>
          <w:tcPr>
            <w:tcW w:w="1917" w:type="dxa"/>
            <w:vAlign w:val="center"/>
          </w:tcPr>
          <w:p w14:paraId="11A51EDC"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069D8B08"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4B734E14" w14:textId="77777777">
        <w:trPr>
          <w:cantSplit/>
          <w:trHeight w:val="454"/>
          <w:jc w:val="center"/>
        </w:trPr>
        <w:tc>
          <w:tcPr>
            <w:tcW w:w="619" w:type="dxa"/>
            <w:vAlign w:val="center"/>
          </w:tcPr>
          <w:p w14:paraId="379CDB41"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2</w:t>
            </w:r>
            <w:r>
              <w:rPr>
                <w:rFonts w:ascii="Times New Roman" w:eastAsia="方正楷体简体" w:hAnsi="Times New Roman"/>
                <w:color w:val="000000"/>
                <w:kern w:val="0"/>
                <w:sz w:val="24"/>
              </w:rPr>
              <w:t>9</w:t>
            </w:r>
          </w:p>
        </w:tc>
        <w:tc>
          <w:tcPr>
            <w:tcW w:w="9785" w:type="dxa"/>
            <w:vAlign w:val="center"/>
          </w:tcPr>
          <w:p w14:paraId="1794215C"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进一步完善地方性法规、政府规章有关行政处罚裁量权基准体系，推动执法部门完善行政裁量权使用规则程序，着力防范任性执法</w:t>
            </w:r>
            <w:r>
              <w:rPr>
                <w:rFonts w:ascii="Times New Roman" w:hAnsi="Times New Roman" w:hint="eastAsia"/>
                <w:color w:val="000000"/>
                <w:kern w:val="0"/>
                <w:sz w:val="24"/>
              </w:rPr>
              <w:t>、</w:t>
            </w:r>
            <w:r>
              <w:rPr>
                <w:rFonts w:ascii="Times New Roman" w:hAnsi="Times New Roman"/>
                <w:color w:val="000000"/>
                <w:kern w:val="0"/>
                <w:sz w:val="24"/>
              </w:rPr>
              <w:t>机械执法及类案不同罚</w:t>
            </w:r>
            <w:r>
              <w:rPr>
                <w:rFonts w:ascii="Times New Roman" w:hAnsi="Times New Roman" w:hint="eastAsia"/>
                <w:color w:val="000000"/>
                <w:kern w:val="0"/>
                <w:sz w:val="24"/>
              </w:rPr>
              <w:t>、</w:t>
            </w:r>
            <w:r>
              <w:rPr>
                <w:rFonts w:ascii="Times New Roman" w:hAnsi="Times New Roman"/>
                <w:color w:val="000000"/>
                <w:kern w:val="0"/>
                <w:sz w:val="24"/>
              </w:rPr>
              <w:t>过罚不相当等问题</w:t>
            </w:r>
            <w:r>
              <w:rPr>
                <w:rFonts w:ascii="Times New Roman" w:hAnsi="Times New Roman"/>
                <w:color w:val="000000"/>
                <w:kern w:val="0"/>
                <w:sz w:val="24"/>
              </w:rPr>
              <w:t xml:space="preserve"> </w:t>
            </w:r>
            <w:r>
              <w:rPr>
                <w:rFonts w:ascii="Times New Roman" w:hAnsi="Times New Roman"/>
                <w:color w:val="000000"/>
                <w:kern w:val="0"/>
                <w:sz w:val="24"/>
              </w:rPr>
              <w:t>。</w:t>
            </w:r>
          </w:p>
        </w:tc>
        <w:tc>
          <w:tcPr>
            <w:tcW w:w="1917" w:type="dxa"/>
            <w:vAlign w:val="center"/>
          </w:tcPr>
          <w:p w14:paraId="28D08A9C"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市司法局</w:t>
            </w:r>
          </w:p>
        </w:tc>
        <w:tc>
          <w:tcPr>
            <w:tcW w:w="1377" w:type="dxa"/>
            <w:vAlign w:val="center"/>
          </w:tcPr>
          <w:p w14:paraId="63624163"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ECB3226" w14:textId="77777777">
        <w:trPr>
          <w:cantSplit/>
          <w:trHeight w:val="454"/>
          <w:jc w:val="center"/>
        </w:trPr>
        <w:tc>
          <w:tcPr>
            <w:tcW w:w="10404" w:type="dxa"/>
            <w:gridSpan w:val="2"/>
            <w:vAlign w:val="center"/>
          </w:tcPr>
          <w:p w14:paraId="21872A50"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lastRenderedPageBreak/>
              <w:t>（十五）规范涉企行政检查。</w:t>
            </w:r>
          </w:p>
        </w:tc>
        <w:tc>
          <w:tcPr>
            <w:tcW w:w="1917" w:type="dxa"/>
            <w:vAlign w:val="center"/>
          </w:tcPr>
          <w:p w14:paraId="596EF8C2"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1149FF13"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25D4B6B6" w14:textId="77777777">
        <w:trPr>
          <w:cantSplit/>
          <w:trHeight w:val="454"/>
          <w:jc w:val="center"/>
        </w:trPr>
        <w:tc>
          <w:tcPr>
            <w:tcW w:w="619" w:type="dxa"/>
            <w:vAlign w:val="center"/>
          </w:tcPr>
          <w:p w14:paraId="344FC920"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30</w:t>
            </w:r>
          </w:p>
        </w:tc>
        <w:tc>
          <w:tcPr>
            <w:tcW w:w="9785" w:type="dxa"/>
            <w:vAlign w:val="center"/>
          </w:tcPr>
          <w:p w14:paraId="73E3AAFC"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深化</w:t>
            </w:r>
            <w:r>
              <w:rPr>
                <w:rFonts w:ascii="宋体" w:hAnsi="宋体"/>
                <w:color w:val="000000"/>
                <w:kern w:val="0"/>
                <w:sz w:val="24"/>
              </w:rPr>
              <w:t>“</w:t>
            </w:r>
            <w:r>
              <w:rPr>
                <w:rFonts w:ascii="Times New Roman" w:hAnsi="Times New Roman"/>
                <w:color w:val="000000"/>
                <w:kern w:val="0"/>
                <w:sz w:val="24"/>
              </w:rPr>
              <w:t>综合查一次</w:t>
            </w:r>
            <w:r>
              <w:rPr>
                <w:rFonts w:ascii="宋体" w:hAnsi="宋体"/>
                <w:color w:val="000000"/>
                <w:kern w:val="0"/>
                <w:sz w:val="24"/>
              </w:rPr>
              <w:t>”</w:t>
            </w:r>
            <w:r>
              <w:rPr>
                <w:rFonts w:ascii="Times New Roman" w:hAnsi="Times New Roman"/>
                <w:color w:val="000000"/>
                <w:kern w:val="0"/>
                <w:sz w:val="24"/>
              </w:rPr>
              <w:t>改革，完善涉企行政检查主体资格确认工作，合理统筹市、县两级行政检查计划实行检查计划全面备案</w:t>
            </w:r>
            <w:r>
              <w:rPr>
                <w:rFonts w:ascii="Times New Roman" w:hAnsi="Times New Roman"/>
                <w:color w:val="000000"/>
                <w:kern w:val="0"/>
                <w:sz w:val="24"/>
              </w:rPr>
              <w:t xml:space="preserve"> </w:t>
            </w:r>
            <w:r>
              <w:rPr>
                <w:rFonts w:ascii="Times New Roman" w:hAnsi="Times New Roman"/>
                <w:color w:val="000000"/>
                <w:kern w:val="0"/>
                <w:sz w:val="24"/>
              </w:rPr>
              <w:t>，梳理</w:t>
            </w:r>
            <w:r>
              <w:rPr>
                <w:rFonts w:ascii="宋体" w:hAnsi="宋体"/>
                <w:color w:val="000000"/>
                <w:kern w:val="0"/>
                <w:sz w:val="24"/>
              </w:rPr>
              <w:t>“</w:t>
            </w:r>
            <w:r>
              <w:rPr>
                <w:rFonts w:ascii="Times New Roman" w:hAnsi="Times New Roman"/>
                <w:color w:val="000000"/>
                <w:kern w:val="0"/>
                <w:sz w:val="24"/>
              </w:rPr>
              <w:t>综合查一次</w:t>
            </w:r>
            <w:r>
              <w:rPr>
                <w:rFonts w:ascii="宋体" w:hAnsi="宋体"/>
                <w:color w:val="000000"/>
                <w:kern w:val="0"/>
                <w:sz w:val="24"/>
              </w:rPr>
              <w:t>”</w:t>
            </w:r>
            <w:r>
              <w:rPr>
                <w:rFonts w:ascii="Times New Roman" w:hAnsi="Times New Roman"/>
                <w:color w:val="000000"/>
                <w:kern w:val="0"/>
                <w:sz w:val="24"/>
              </w:rPr>
              <w:t>检查场景清单，推动</w:t>
            </w:r>
            <w:r>
              <w:rPr>
                <w:rFonts w:ascii="宋体" w:hAnsi="宋体"/>
                <w:color w:val="000000"/>
                <w:kern w:val="0"/>
                <w:sz w:val="24"/>
              </w:rPr>
              <w:t>“</w:t>
            </w:r>
            <w:r>
              <w:rPr>
                <w:rFonts w:ascii="Times New Roman" w:hAnsi="Times New Roman"/>
                <w:color w:val="000000"/>
                <w:kern w:val="0"/>
                <w:sz w:val="24"/>
              </w:rPr>
              <w:t>综合查一次</w:t>
            </w:r>
            <w:r>
              <w:rPr>
                <w:rFonts w:ascii="宋体" w:hAnsi="宋体"/>
                <w:color w:val="000000"/>
                <w:kern w:val="0"/>
                <w:sz w:val="24"/>
              </w:rPr>
              <w:t>”</w:t>
            </w:r>
            <w:r>
              <w:rPr>
                <w:rFonts w:ascii="Times New Roman" w:hAnsi="Times New Roman"/>
                <w:color w:val="000000"/>
                <w:kern w:val="0"/>
                <w:sz w:val="24"/>
              </w:rPr>
              <w:t>与</w:t>
            </w:r>
            <w:r>
              <w:rPr>
                <w:rFonts w:ascii="Times New Roman" w:hAnsi="Times New Roman"/>
                <w:color w:val="000000"/>
                <w:kern w:val="0"/>
                <w:sz w:val="24"/>
              </w:rPr>
              <w:t xml:space="preserve"> </w:t>
            </w:r>
            <w:r>
              <w:rPr>
                <w:rFonts w:ascii="宋体" w:hAnsi="宋体"/>
                <w:color w:val="000000"/>
                <w:kern w:val="0"/>
                <w:sz w:val="24"/>
              </w:rPr>
              <w:t>“</w:t>
            </w:r>
            <w:r>
              <w:rPr>
                <w:rFonts w:ascii="Times New Roman" w:hAnsi="Times New Roman"/>
                <w:color w:val="000000"/>
                <w:kern w:val="0"/>
                <w:sz w:val="24"/>
              </w:rPr>
              <w:t>双随机</w:t>
            </w:r>
            <w:r>
              <w:rPr>
                <w:rFonts w:ascii="Times New Roman" w:hAnsi="Times New Roman"/>
                <w:color w:val="000000"/>
                <w:kern w:val="0"/>
                <w:sz w:val="24"/>
              </w:rPr>
              <w:t xml:space="preserve"> </w:t>
            </w:r>
            <w:r>
              <w:rPr>
                <w:rFonts w:ascii="Times New Roman" w:hAnsi="Times New Roman"/>
                <w:color w:val="000000"/>
                <w:kern w:val="0"/>
                <w:sz w:val="24"/>
              </w:rPr>
              <w:t>、一公开</w:t>
            </w:r>
            <w:r>
              <w:rPr>
                <w:rFonts w:ascii="宋体" w:hAnsi="宋体"/>
                <w:color w:val="000000"/>
                <w:kern w:val="0"/>
                <w:sz w:val="24"/>
              </w:rPr>
              <w:t>”</w:t>
            </w:r>
            <w:r>
              <w:rPr>
                <w:rFonts w:ascii="Times New Roman" w:hAnsi="Times New Roman"/>
                <w:color w:val="000000"/>
                <w:kern w:val="0"/>
                <w:sz w:val="24"/>
              </w:rPr>
              <w:t>、跨部门综合监管、</w:t>
            </w:r>
            <w:r>
              <w:rPr>
                <w:rFonts w:ascii="宋体" w:hAnsi="宋体"/>
                <w:color w:val="000000"/>
                <w:kern w:val="0"/>
                <w:sz w:val="24"/>
              </w:rPr>
              <w:t>“</w:t>
            </w:r>
            <w:r>
              <w:rPr>
                <w:rFonts w:ascii="Times New Roman" w:hAnsi="Times New Roman"/>
                <w:color w:val="000000"/>
                <w:kern w:val="0"/>
                <w:sz w:val="24"/>
              </w:rPr>
              <w:t xml:space="preserve"> </w:t>
            </w:r>
            <w:r>
              <w:rPr>
                <w:rFonts w:ascii="Times New Roman" w:hAnsi="Times New Roman"/>
                <w:color w:val="000000"/>
                <w:kern w:val="0"/>
                <w:sz w:val="24"/>
              </w:rPr>
              <w:t>一业一查</w:t>
            </w:r>
            <w:r>
              <w:rPr>
                <w:rFonts w:ascii="宋体" w:hAnsi="宋体"/>
                <w:color w:val="000000"/>
                <w:kern w:val="0"/>
                <w:sz w:val="24"/>
              </w:rPr>
              <w:t>”</w:t>
            </w:r>
            <w:r>
              <w:rPr>
                <w:rFonts w:ascii="Times New Roman" w:hAnsi="Times New Roman"/>
                <w:color w:val="000000"/>
                <w:kern w:val="0"/>
                <w:sz w:val="24"/>
              </w:rPr>
              <w:t>、信用分级分类监管等有机融合。推广应用</w:t>
            </w:r>
            <w:r>
              <w:rPr>
                <w:rFonts w:ascii="宋体" w:hAnsi="宋体"/>
                <w:color w:val="000000"/>
                <w:kern w:val="0"/>
                <w:sz w:val="24"/>
              </w:rPr>
              <w:t>“</w:t>
            </w:r>
            <w:r>
              <w:rPr>
                <w:rFonts w:ascii="Times New Roman" w:hAnsi="Times New Roman"/>
                <w:color w:val="000000"/>
                <w:kern w:val="0"/>
                <w:sz w:val="24"/>
              </w:rPr>
              <w:t>检查码</w:t>
            </w:r>
            <w:r>
              <w:rPr>
                <w:rFonts w:ascii="宋体" w:hAnsi="宋体"/>
                <w:color w:val="000000"/>
                <w:kern w:val="0"/>
                <w:sz w:val="24"/>
              </w:rPr>
              <w:t>”</w:t>
            </w:r>
            <w:r>
              <w:rPr>
                <w:rFonts w:ascii="Times New Roman" w:hAnsi="Times New Roman"/>
                <w:color w:val="000000"/>
                <w:kern w:val="0"/>
                <w:sz w:val="24"/>
              </w:rPr>
              <w:t>，全面实行</w:t>
            </w:r>
            <w:r>
              <w:rPr>
                <w:rFonts w:ascii="宋体" w:hAnsi="宋体"/>
                <w:color w:val="000000"/>
                <w:kern w:val="0"/>
                <w:sz w:val="24"/>
              </w:rPr>
              <w:t>“</w:t>
            </w:r>
            <w:r>
              <w:rPr>
                <w:rFonts w:ascii="Times New Roman" w:hAnsi="Times New Roman"/>
                <w:color w:val="000000"/>
                <w:kern w:val="0"/>
                <w:sz w:val="24"/>
              </w:rPr>
              <w:t>扫码入企</w:t>
            </w:r>
            <w:r>
              <w:rPr>
                <w:rFonts w:ascii="宋体" w:hAnsi="宋体"/>
                <w:color w:val="000000"/>
                <w:kern w:val="0"/>
                <w:sz w:val="24"/>
              </w:rPr>
              <w:t>”</w:t>
            </w:r>
            <w:r>
              <w:rPr>
                <w:rFonts w:ascii="Times New Roman" w:hAnsi="Times New Roman"/>
                <w:color w:val="000000"/>
                <w:kern w:val="0"/>
                <w:sz w:val="24"/>
              </w:rPr>
              <w:t>，做到</w:t>
            </w:r>
            <w:r>
              <w:rPr>
                <w:rFonts w:ascii="宋体" w:hAnsi="宋体"/>
                <w:color w:val="000000"/>
                <w:kern w:val="0"/>
                <w:sz w:val="24"/>
              </w:rPr>
              <w:t>“</w:t>
            </w:r>
            <w:r>
              <w:rPr>
                <w:rFonts w:ascii="Times New Roman" w:hAnsi="Times New Roman"/>
                <w:color w:val="000000"/>
                <w:kern w:val="0"/>
                <w:sz w:val="24"/>
              </w:rPr>
              <w:t>无码不检查</w:t>
            </w:r>
            <w:r>
              <w:rPr>
                <w:rFonts w:ascii="Times New Roman" w:hAnsi="Times New Roman"/>
                <w:color w:val="000000"/>
                <w:kern w:val="0"/>
                <w:sz w:val="24"/>
              </w:rPr>
              <w:t xml:space="preserve"> </w:t>
            </w:r>
            <w:r>
              <w:rPr>
                <w:rFonts w:ascii="Times New Roman" w:hAnsi="Times New Roman"/>
                <w:color w:val="000000"/>
                <w:kern w:val="0"/>
                <w:sz w:val="24"/>
              </w:rPr>
              <w:t>、检查须亮码、企业可评价</w:t>
            </w:r>
            <w:r>
              <w:rPr>
                <w:rFonts w:ascii="宋体" w:hAnsi="宋体"/>
                <w:color w:val="000000"/>
                <w:kern w:val="0"/>
                <w:sz w:val="24"/>
              </w:rPr>
              <w:t>”</w:t>
            </w:r>
            <w:r>
              <w:rPr>
                <w:rFonts w:ascii="Times New Roman" w:hAnsi="Times New Roman"/>
                <w:color w:val="000000"/>
                <w:kern w:val="0"/>
                <w:sz w:val="24"/>
              </w:rPr>
              <w:t>，加强对多头执法、重复检查等行为的智能预警和监督。</w:t>
            </w:r>
          </w:p>
        </w:tc>
        <w:tc>
          <w:tcPr>
            <w:tcW w:w="1917" w:type="dxa"/>
            <w:vAlign w:val="center"/>
          </w:tcPr>
          <w:p w14:paraId="00238800"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市司法局、</w:t>
            </w:r>
          </w:p>
          <w:p w14:paraId="6E25249D"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21FA9938"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2AFD0CC" w14:textId="77777777">
        <w:trPr>
          <w:cantSplit/>
          <w:trHeight w:val="454"/>
          <w:jc w:val="center"/>
        </w:trPr>
        <w:tc>
          <w:tcPr>
            <w:tcW w:w="10404" w:type="dxa"/>
            <w:gridSpan w:val="2"/>
            <w:vAlign w:val="center"/>
          </w:tcPr>
          <w:p w14:paraId="6C7234E3"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（十六）健全涉企投诉举报甄别处理机制。</w:t>
            </w:r>
          </w:p>
        </w:tc>
        <w:tc>
          <w:tcPr>
            <w:tcW w:w="1917" w:type="dxa"/>
            <w:vAlign w:val="center"/>
          </w:tcPr>
          <w:p w14:paraId="7463E152"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36C8068B"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7AE9D907" w14:textId="77777777">
        <w:trPr>
          <w:cantSplit/>
          <w:trHeight w:val="454"/>
          <w:jc w:val="center"/>
        </w:trPr>
        <w:tc>
          <w:tcPr>
            <w:tcW w:w="619" w:type="dxa"/>
            <w:vAlign w:val="center"/>
          </w:tcPr>
          <w:p w14:paraId="1DE9F4D5"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3</w:t>
            </w:r>
            <w:r>
              <w:rPr>
                <w:rFonts w:ascii="Times New Roman" w:eastAsia="方正楷体简体" w:hAnsi="Times New Roman"/>
                <w:color w:val="000000"/>
                <w:kern w:val="0"/>
                <w:sz w:val="24"/>
              </w:rPr>
              <w:t>1</w:t>
            </w:r>
          </w:p>
        </w:tc>
        <w:tc>
          <w:tcPr>
            <w:tcW w:w="9785" w:type="dxa"/>
            <w:vAlign w:val="center"/>
          </w:tcPr>
          <w:p w14:paraId="3362573C"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落实涉企投诉举报</w:t>
            </w:r>
            <w:r>
              <w:rPr>
                <w:rFonts w:ascii="宋体" w:hAnsi="宋体"/>
                <w:color w:val="000000"/>
                <w:kern w:val="0"/>
                <w:sz w:val="24"/>
              </w:rPr>
              <w:t>“</w:t>
            </w:r>
            <w:r>
              <w:rPr>
                <w:rFonts w:ascii="Times New Roman" w:hAnsi="Times New Roman"/>
                <w:color w:val="000000"/>
                <w:kern w:val="0"/>
                <w:sz w:val="24"/>
              </w:rPr>
              <w:t>黑名单</w:t>
            </w:r>
            <w:r>
              <w:rPr>
                <w:rFonts w:ascii="宋体" w:hAnsi="宋体"/>
                <w:color w:val="000000"/>
                <w:kern w:val="0"/>
                <w:sz w:val="24"/>
              </w:rPr>
              <w:t>”</w:t>
            </w:r>
            <w:r>
              <w:rPr>
                <w:rFonts w:ascii="Times New Roman" w:hAnsi="Times New Roman"/>
                <w:color w:val="000000"/>
                <w:kern w:val="0"/>
                <w:sz w:val="24"/>
              </w:rPr>
              <w:t>制度，有效遏制恶意举报、滥用举报权利进行职业索赔等违法违规行为。</w:t>
            </w:r>
          </w:p>
        </w:tc>
        <w:tc>
          <w:tcPr>
            <w:tcW w:w="1917" w:type="dxa"/>
            <w:vAlign w:val="center"/>
          </w:tcPr>
          <w:p w14:paraId="5EB97A0D"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0C8C3C16"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3124338" w14:textId="77777777">
        <w:trPr>
          <w:cantSplit/>
          <w:trHeight w:val="454"/>
          <w:jc w:val="center"/>
        </w:trPr>
        <w:tc>
          <w:tcPr>
            <w:tcW w:w="10404" w:type="dxa"/>
            <w:gridSpan w:val="2"/>
            <w:vAlign w:val="center"/>
          </w:tcPr>
          <w:p w14:paraId="7837D4DB"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（十七）强化行政执法行为监督。</w:t>
            </w:r>
          </w:p>
        </w:tc>
        <w:tc>
          <w:tcPr>
            <w:tcW w:w="1917" w:type="dxa"/>
            <w:vAlign w:val="center"/>
          </w:tcPr>
          <w:p w14:paraId="10EDC461"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0C938998"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33C9ED66" w14:textId="77777777">
        <w:trPr>
          <w:cantSplit/>
          <w:trHeight w:val="454"/>
          <w:jc w:val="center"/>
        </w:trPr>
        <w:tc>
          <w:tcPr>
            <w:tcW w:w="619" w:type="dxa"/>
            <w:vAlign w:val="center"/>
          </w:tcPr>
          <w:p w14:paraId="3EA97B42"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3</w:t>
            </w:r>
            <w:r>
              <w:rPr>
                <w:rFonts w:ascii="Times New Roman" w:eastAsia="方正楷体简体" w:hAnsi="Times New Roman"/>
                <w:color w:val="000000"/>
                <w:kern w:val="0"/>
                <w:sz w:val="24"/>
              </w:rPr>
              <w:t>2</w:t>
            </w:r>
          </w:p>
        </w:tc>
        <w:tc>
          <w:tcPr>
            <w:tcW w:w="9785" w:type="dxa"/>
            <w:vAlign w:val="center"/>
          </w:tcPr>
          <w:p w14:paraId="06EA6A7F"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持续推进市县乡三级全覆盖行政执法协调监督工作体系建设，推动市、县（区）人民政府行政执法协调监督局实体化运行。畅通行政执法问题反映渠道</w:t>
            </w:r>
            <w:r>
              <w:rPr>
                <w:rFonts w:ascii="Times New Roman" w:hAnsi="Times New Roman" w:hint="eastAsia"/>
                <w:color w:val="000000"/>
                <w:kern w:val="0"/>
                <w:sz w:val="24"/>
              </w:rPr>
              <w:t>，</w:t>
            </w:r>
            <w:r>
              <w:rPr>
                <w:rFonts w:ascii="Times New Roman" w:hAnsi="Times New Roman"/>
                <w:color w:val="000000"/>
                <w:kern w:val="0"/>
                <w:sz w:val="24"/>
              </w:rPr>
              <w:t>建立行政执法情况定期评估机制，加大对违法违规执法行为警示、整改力度。开展规范涉企行政执法专项整治</w:t>
            </w:r>
            <w:r>
              <w:rPr>
                <w:rFonts w:ascii="Times New Roman" w:hAnsi="Times New Roman" w:hint="eastAsia"/>
                <w:color w:val="000000"/>
                <w:kern w:val="0"/>
                <w:sz w:val="24"/>
              </w:rPr>
              <w:t>，</w:t>
            </w:r>
            <w:r>
              <w:rPr>
                <w:rFonts w:ascii="Times New Roman" w:hAnsi="Times New Roman"/>
                <w:color w:val="000000"/>
                <w:kern w:val="0"/>
                <w:sz w:val="24"/>
              </w:rPr>
              <w:t>突出整治趋利性执法以及乱收费</w:t>
            </w:r>
            <w:r>
              <w:rPr>
                <w:rFonts w:ascii="Times New Roman" w:hAnsi="Times New Roman" w:hint="eastAsia"/>
                <w:color w:val="000000"/>
                <w:kern w:val="0"/>
                <w:sz w:val="24"/>
              </w:rPr>
              <w:t>、</w:t>
            </w:r>
            <w:r>
              <w:rPr>
                <w:rFonts w:ascii="Times New Roman" w:hAnsi="Times New Roman"/>
                <w:color w:val="000000"/>
                <w:kern w:val="0"/>
                <w:sz w:val="24"/>
              </w:rPr>
              <w:t>乱罚款</w:t>
            </w:r>
            <w:r>
              <w:rPr>
                <w:rFonts w:ascii="Times New Roman" w:hAnsi="Times New Roman" w:hint="eastAsia"/>
                <w:color w:val="000000"/>
                <w:kern w:val="0"/>
                <w:sz w:val="24"/>
              </w:rPr>
              <w:t>、</w:t>
            </w:r>
            <w:r>
              <w:rPr>
                <w:rFonts w:ascii="Times New Roman" w:hAnsi="Times New Roman"/>
                <w:color w:val="000000"/>
                <w:kern w:val="0"/>
                <w:sz w:val="24"/>
              </w:rPr>
              <w:t>乱检查</w:t>
            </w:r>
            <w:r>
              <w:rPr>
                <w:rFonts w:ascii="Times New Roman" w:hAnsi="Times New Roman" w:hint="eastAsia"/>
                <w:color w:val="000000"/>
                <w:kern w:val="0"/>
                <w:sz w:val="24"/>
              </w:rPr>
              <w:t>、</w:t>
            </w:r>
            <w:r>
              <w:rPr>
                <w:rFonts w:ascii="Times New Roman" w:hAnsi="Times New Roman"/>
                <w:color w:val="000000"/>
                <w:kern w:val="0"/>
                <w:sz w:val="24"/>
              </w:rPr>
              <w:t>乱查封等问题</w:t>
            </w:r>
            <w:r>
              <w:rPr>
                <w:rFonts w:ascii="Times New Roman" w:hAnsi="Times New Roman"/>
                <w:color w:val="000000"/>
                <w:kern w:val="0"/>
                <w:sz w:val="24"/>
              </w:rPr>
              <w:t xml:space="preserve"> </w:t>
            </w:r>
            <w:r>
              <w:rPr>
                <w:rFonts w:ascii="Times New Roman" w:hAnsi="Times New Roman"/>
                <w:color w:val="000000"/>
                <w:kern w:val="0"/>
                <w:sz w:val="24"/>
              </w:rPr>
              <w:t>。</w:t>
            </w:r>
          </w:p>
        </w:tc>
        <w:tc>
          <w:tcPr>
            <w:tcW w:w="1917" w:type="dxa"/>
            <w:vAlign w:val="center"/>
          </w:tcPr>
          <w:p w14:paraId="6A04439B"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市司法局</w:t>
            </w:r>
          </w:p>
        </w:tc>
        <w:tc>
          <w:tcPr>
            <w:tcW w:w="1377" w:type="dxa"/>
            <w:vAlign w:val="center"/>
          </w:tcPr>
          <w:p w14:paraId="40A2775C"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0D59A8F0" w14:textId="77777777">
        <w:trPr>
          <w:cantSplit/>
          <w:trHeight w:val="454"/>
          <w:jc w:val="center"/>
        </w:trPr>
        <w:tc>
          <w:tcPr>
            <w:tcW w:w="10404" w:type="dxa"/>
            <w:gridSpan w:val="2"/>
            <w:vAlign w:val="center"/>
          </w:tcPr>
          <w:p w14:paraId="64A527E3"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（十八）深入推行非现场监管。</w:t>
            </w:r>
          </w:p>
        </w:tc>
        <w:tc>
          <w:tcPr>
            <w:tcW w:w="1917" w:type="dxa"/>
            <w:vAlign w:val="center"/>
          </w:tcPr>
          <w:p w14:paraId="2EF81465"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7E3333DD"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4FD8D2CB" w14:textId="77777777">
        <w:trPr>
          <w:cantSplit/>
          <w:trHeight w:val="454"/>
          <w:jc w:val="center"/>
        </w:trPr>
        <w:tc>
          <w:tcPr>
            <w:tcW w:w="619" w:type="dxa"/>
            <w:vAlign w:val="center"/>
          </w:tcPr>
          <w:p w14:paraId="43B2B835"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3</w:t>
            </w:r>
            <w:r>
              <w:rPr>
                <w:rFonts w:ascii="Times New Roman" w:eastAsia="方正楷体简体" w:hAnsi="Times New Roman"/>
                <w:color w:val="000000"/>
                <w:kern w:val="0"/>
                <w:sz w:val="24"/>
              </w:rPr>
              <w:t>3</w:t>
            </w:r>
          </w:p>
        </w:tc>
        <w:tc>
          <w:tcPr>
            <w:tcW w:w="9785" w:type="dxa"/>
            <w:vAlign w:val="center"/>
          </w:tcPr>
          <w:p w14:paraId="3A51ABDC"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加强非现场监管政策研究和制度建设。探索建立各行业领域</w:t>
            </w:r>
            <w:r>
              <w:rPr>
                <w:rFonts w:ascii="宋体" w:hAnsi="宋体"/>
                <w:color w:val="000000"/>
                <w:kern w:val="0"/>
                <w:sz w:val="24"/>
              </w:rPr>
              <w:t>“</w:t>
            </w:r>
            <w:r>
              <w:rPr>
                <w:rFonts w:ascii="Times New Roman" w:hAnsi="Times New Roman"/>
                <w:color w:val="000000"/>
                <w:kern w:val="0"/>
                <w:sz w:val="24"/>
              </w:rPr>
              <w:t>无感监测</w:t>
            </w:r>
            <w:r>
              <w:rPr>
                <w:rFonts w:ascii="宋体" w:hAnsi="宋体"/>
                <w:color w:val="000000"/>
                <w:kern w:val="0"/>
                <w:sz w:val="24"/>
              </w:rPr>
              <w:t>”</w:t>
            </w:r>
            <w:r>
              <w:rPr>
                <w:rFonts w:ascii="Times New Roman" w:hAnsi="Times New Roman"/>
                <w:color w:val="000000"/>
                <w:kern w:val="0"/>
                <w:sz w:val="24"/>
              </w:rPr>
              <w:t>对象清单、</w:t>
            </w:r>
            <w:r>
              <w:rPr>
                <w:rFonts w:ascii="宋体" w:hAnsi="宋体"/>
                <w:color w:val="000000"/>
                <w:kern w:val="0"/>
                <w:sz w:val="24"/>
              </w:rPr>
              <w:t>“</w:t>
            </w:r>
            <w:r>
              <w:rPr>
                <w:rFonts w:ascii="Times New Roman" w:hAnsi="Times New Roman"/>
                <w:color w:val="000000"/>
                <w:kern w:val="0"/>
                <w:sz w:val="24"/>
              </w:rPr>
              <w:t>无事不扰</w:t>
            </w:r>
            <w:r>
              <w:rPr>
                <w:rFonts w:ascii="宋体" w:hAnsi="宋体"/>
                <w:color w:val="000000"/>
                <w:kern w:val="0"/>
                <w:sz w:val="24"/>
              </w:rPr>
              <w:t>”</w:t>
            </w:r>
            <w:r>
              <w:rPr>
                <w:rFonts w:ascii="Times New Roman" w:hAnsi="Times New Roman"/>
                <w:color w:val="000000"/>
                <w:kern w:val="0"/>
                <w:sz w:val="24"/>
              </w:rPr>
              <w:t>事项清单及非现场监管标准。强化技术应用，拓展非现场监管应用场景，实现远程管、易分类、早干预。</w:t>
            </w:r>
          </w:p>
        </w:tc>
        <w:tc>
          <w:tcPr>
            <w:tcW w:w="1917" w:type="dxa"/>
            <w:vAlign w:val="center"/>
          </w:tcPr>
          <w:p w14:paraId="6A3AF242"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各行业主管部门</w:t>
            </w:r>
          </w:p>
        </w:tc>
        <w:tc>
          <w:tcPr>
            <w:tcW w:w="1377" w:type="dxa"/>
            <w:vAlign w:val="center"/>
          </w:tcPr>
          <w:p w14:paraId="726CB7EC"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096D4E96" w14:textId="77777777">
        <w:trPr>
          <w:cantSplit/>
          <w:trHeight w:val="454"/>
          <w:jc w:val="center"/>
        </w:trPr>
        <w:tc>
          <w:tcPr>
            <w:tcW w:w="10404" w:type="dxa"/>
            <w:gridSpan w:val="2"/>
            <w:vAlign w:val="center"/>
          </w:tcPr>
          <w:p w14:paraId="4C1B8B8A"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（十九）深化包容审慎监管。</w:t>
            </w:r>
          </w:p>
        </w:tc>
        <w:tc>
          <w:tcPr>
            <w:tcW w:w="1917" w:type="dxa"/>
            <w:vAlign w:val="center"/>
          </w:tcPr>
          <w:p w14:paraId="57C50626"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3C89B18D"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54AFC923" w14:textId="77777777">
        <w:trPr>
          <w:cantSplit/>
          <w:trHeight w:val="454"/>
          <w:jc w:val="center"/>
        </w:trPr>
        <w:tc>
          <w:tcPr>
            <w:tcW w:w="619" w:type="dxa"/>
            <w:vAlign w:val="center"/>
          </w:tcPr>
          <w:p w14:paraId="416C743C"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lastRenderedPageBreak/>
              <w:t>3</w:t>
            </w:r>
            <w:r>
              <w:rPr>
                <w:rFonts w:ascii="Times New Roman" w:eastAsia="方正楷体简体" w:hAnsi="Times New Roman"/>
                <w:color w:val="000000"/>
                <w:kern w:val="0"/>
                <w:sz w:val="24"/>
              </w:rPr>
              <w:t>4</w:t>
            </w:r>
          </w:p>
        </w:tc>
        <w:tc>
          <w:tcPr>
            <w:tcW w:w="9785" w:type="dxa"/>
            <w:vAlign w:val="center"/>
          </w:tcPr>
          <w:p w14:paraId="78B3EDEC"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梳理完善轻微违法依法不予行政处罚、从轻处罚、减轻处罚、免强制等清单，对依法可以采用提醒、告知、劝阻等方式处理的，更多采用柔性执法方式。落实省涉企行政执法案件经济影响评估工作指引，依法依规最大限度降低行政执法对经营主体产生的负面影响。</w:t>
            </w:r>
          </w:p>
        </w:tc>
        <w:tc>
          <w:tcPr>
            <w:tcW w:w="1917" w:type="dxa"/>
            <w:vAlign w:val="center"/>
          </w:tcPr>
          <w:p w14:paraId="29BB658E"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市司法局、</w:t>
            </w:r>
          </w:p>
          <w:p w14:paraId="1533C4F1"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各行业主管部门</w:t>
            </w:r>
          </w:p>
        </w:tc>
        <w:tc>
          <w:tcPr>
            <w:tcW w:w="1377" w:type="dxa"/>
            <w:vAlign w:val="center"/>
          </w:tcPr>
          <w:p w14:paraId="7E17088B"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0031594B" w14:textId="77777777">
        <w:trPr>
          <w:cantSplit/>
          <w:trHeight w:val="454"/>
          <w:jc w:val="center"/>
        </w:trPr>
        <w:tc>
          <w:tcPr>
            <w:tcW w:w="10404" w:type="dxa"/>
            <w:gridSpan w:val="2"/>
            <w:vAlign w:val="center"/>
          </w:tcPr>
          <w:p w14:paraId="76C41B4E"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（二十）加强政府违约失信整治。</w:t>
            </w:r>
          </w:p>
        </w:tc>
        <w:tc>
          <w:tcPr>
            <w:tcW w:w="1917" w:type="dxa"/>
            <w:vAlign w:val="center"/>
          </w:tcPr>
          <w:p w14:paraId="5C586623"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46532EA5"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5884D825" w14:textId="77777777">
        <w:trPr>
          <w:cantSplit/>
          <w:trHeight w:val="454"/>
          <w:jc w:val="center"/>
        </w:trPr>
        <w:tc>
          <w:tcPr>
            <w:tcW w:w="619" w:type="dxa"/>
            <w:vAlign w:val="center"/>
          </w:tcPr>
          <w:p w14:paraId="003B5490"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3</w:t>
            </w:r>
            <w:r>
              <w:rPr>
                <w:rFonts w:ascii="Times New Roman" w:eastAsia="方正楷体简体" w:hAnsi="Times New Roman"/>
                <w:color w:val="000000"/>
                <w:kern w:val="0"/>
                <w:sz w:val="24"/>
              </w:rPr>
              <w:t>5</w:t>
            </w:r>
          </w:p>
        </w:tc>
        <w:tc>
          <w:tcPr>
            <w:tcW w:w="9785" w:type="dxa"/>
            <w:vAlign w:val="center"/>
          </w:tcPr>
          <w:p w14:paraId="7F27C245"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将合法性审查作为作出招商引资承诺的前置程序，做到应审尽审，及时纠正违规承诺、不良竞争等行为。落实《进一步深化公共政策兑现和政府履约践诺实施意见》任务清单，抓好市、县、乡三级政府招商引资合同协议履约监管平台运用，强化履约情况全周期、闭环式动态监管。</w:t>
            </w:r>
          </w:p>
        </w:tc>
        <w:tc>
          <w:tcPr>
            <w:tcW w:w="1917" w:type="dxa"/>
            <w:vAlign w:val="center"/>
          </w:tcPr>
          <w:p w14:paraId="3354D4DB"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市司法局</w:t>
            </w:r>
          </w:p>
        </w:tc>
        <w:tc>
          <w:tcPr>
            <w:tcW w:w="1377" w:type="dxa"/>
            <w:vAlign w:val="center"/>
          </w:tcPr>
          <w:p w14:paraId="587696D2"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7354D68B" w14:textId="77777777">
        <w:trPr>
          <w:cantSplit/>
          <w:trHeight w:val="454"/>
          <w:jc w:val="center"/>
        </w:trPr>
        <w:tc>
          <w:tcPr>
            <w:tcW w:w="619" w:type="dxa"/>
            <w:vAlign w:val="center"/>
          </w:tcPr>
          <w:p w14:paraId="7B64E5D2"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3</w:t>
            </w:r>
            <w:r>
              <w:rPr>
                <w:rFonts w:ascii="Times New Roman" w:hAnsi="Times New Roman"/>
                <w:color w:val="000000"/>
                <w:kern w:val="0"/>
                <w:sz w:val="24"/>
              </w:rPr>
              <w:t>6</w:t>
            </w:r>
          </w:p>
        </w:tc>
        <w:tc>
          <w:tcPr>
            <w:tcW w:w="9785" w:type="dxa"/>
            <w:vAlign w:val="center"/>
          </w:tcPr>
          <w:p w14:paraId="68D19615"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建立政务诚信档案，健全政府信用情况监测机制。畅通政府违约失信投诉渠道，完善违约失信行为认定处置、共享公示等机制，及时妥善化解</w:t>
            </w:r>
            <w:r>
              <w:rPr>
                <w:rFonts w:ascii="宋体" w:hAnsi="宋体"/>
                <w:color w:val="000000"/>
                <w:kern w:val="0"/>
                <w:sz w:val="24"/>
              </w:rPr>
              <w:t>“</w:t>
            </w:r>
            <w:r>
              <w:rPr>
                <w:rFonts w:ascii="Times New Roman" w:hAnsi="Times New Roman"/>
                <w:color w:val="000000"/>
                <w:kern w:val="0"/>
                <w:sz w:val="24"/>
              </w:rPr>
              <w:t>说到</w:t>
            </w:r>
            <w:r>
              <w:rPr>
                <w:rFonts w:ascii="Times New Roman" w:hAnsi="Times New Roman"/>
                <w:color w:val="000000"/>
                <w:kern w:val="0"/>
                <w:sz w:val="24"/>
              </w:rPr>
              <w:t xml:space="preserve"> </w:t>
            </w:r>
            <w:r>
              <w:rPr>
                <w:rFonts w:ascii="Times New Roman" w:hAnsi="Times New Roman"/>
                <w:color w:val="000000"/>
                <w:kern w:val="0"/>
                <w:sz w:val="24"/>
              </w:rPr>
              <w:t>做不到</w:t>
            </w:r>
            <w:r>
              <w:rPr>
                <w:rFonts w:ascii="宋体" w:hAnsi="宋体"/>
                <w:color w:val="000000"/>
                <w:kern w:val="0"/>
                <w:sz w:val="24"/>
              </w:rPr>
              <w:t>”</w:t>
            </w:r>
            <w:r>
              <w:rPr>
                <w:rFonts w:ascii="Times New Roman" w:hAnsi="Times New Roman"/>
                <w:color w:val="000000"/>
                <w:kern w:val="0"/>
                <w:sz w:val="24"/>
              </w:rPr>
              <w:t>等问题。持续开展公共政策兑现、政府履约践诺等专项行动。</w:t>
            </w:r>
          </w:p>
        </w:tc>
        <w:tc>
          <w:tcPr>
            <w:tcW w:w="1917" w:type="dxa"/>
            <w:vAlign w:val="center"/>
          </w:tcPr>
          <w:p w14:paraId="4B7799F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市发展改革委</w:t>
            </w:r>
          </w:p>
        </w:tc>
        <w:tc>
          <w:tcPr>
            <w:tcW w:w="1377" w:type="dxa"/>
            <w:vAlign w:val="center"/>
          </w:tcPr>
          <w:p w14:paraId="4659851F"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9BA2F07" w14:textId="77777777">
        <w:trPr>
          <w:cantSplit/>
          <w:trHeight w:val="454"/>
          <w:jc w:val="center"/>
        </w:trPr>
        <w:tc>
          <w:tcPr>
            <w:tcW w:w="619" w:type="dxa"/>
            <w:vAlign w:val="center"/>
          </w:tcPr>
          <w:p w14:paraId="18B77BFF"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37</w:t>
            </w:r>
          </w:p>
        </w:tc>
        <w:tc>
          <w:tcPr>
            <w:tcW w:w="9785" w:type="dxa"/>
            <w:vAlign w:val="center"/>
          </w:tcPr>
          <w:p w14:paraId="521CB5E2"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落实《保障中小企业款项支付条例》，按照</w:t>
            </w:r>
            <w:r>
              <w:rPr>
                <w:rFonts w:ascii="宋体" w:hAnsi="宋体"/>
                <w:color w:val="000000"/>
                <w:kern w:val="0"/>
                <w:sz w:val="24"/>
              </w:rPr>
              <w:t>“</w:t>
            </w:r>
            <w:r>
              <w:rPr>
                <w:rFonts w:ascii="Times New Roman" w:hAnsi="Times New Roman"/>
                <w:color w:val="000000"/>
                <w:kern w:val="0"/>
                <w:sz w:val="24"/>
              </w:rPr>
              <w:t>属地管理、分级负责，谁主管谁负责、谁监管谁负责</w:t>
            </w:r>
            <w:r>
              <w:rPr>
                <w:rFonts w:ascii="宋体" w:hAnsi="宋体"/>
                <w:color w:val="000000"/>
                <w:kern w:val="0"/>
                <w:sz w:val="24"/>
              </w:rPr>
              <w:t>”</w:t>
            </w:r>
            <w:r>
              <w:rPr>
                <w:rFonts w:ascii="Times New Roman" w:hAnsi="Times New Roman"/>
                <w:color w:val="000000"/>
                <w:kern w:val="0"/>
                <w:sz w:val="24"/>
              </w:rPr>
              <w:t>要求，进一步加大清理拖欠中小企业款项力度。</w:t>
            </w:r>
          </w:p>
        </w:tc>
        <w:tc>
          <w:tcPr>
            <w:tcW w:w="1917" w:type="dxa"/>
            <w:vAlign w:val="center"/>
          </w:tcPr>
          <w:p w14:paraId="327A8D8C"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市工信局</w:t>
            </w:r>
          </w:p>
        </w:tc>
        <w:tc>
          <w:tcPr>
            <w:tcW w:w="1377" w:type="dxa"/>
            <w:vAlign w:val="center"/>
          </w:tcPr>
          <w:p w14:paraId="229503A9"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48C1242" w14:textId="77777777">
        <w:trPr>
          <w:cantSplit/>
          <w:trHeight w:val="454"/>
          <w:jc w:val="center"/>
        </w:trPr>
        <w:tc>
          <w:tcPr>
            <w:tcW w:w="10404" w:type="dxa"/>
            <w:gridSpan w:val="2"/>
            <w:vAlign w:val="center"/>
          </w:tcPr>
          <w:p w14:paraId="06AB0812"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（二十一）深入推进经营主体合规建设。</w:t>
            </w:r>
          </w:p>
        </w:tc>
        <w:tc>
          <w:tcPr>
            <w:tcW w:w="1917" w:type="dxa"/>
            <w:vAlign w:val="center"/>
          </w:tcPr>
          <w:p w14:paraId="6A615CEC"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3436C764"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0143771E" w14:textId="77777777">
        <w:trPr>
          <w:cantSplit/>
          <w:trHeight w:val="454"/>
          <w:jc w:val="center"/>
        </w:trPr>
        <w:tc>
          <w:tcPr>
            <w:tcW w:w="619" w:type="dxa"/>
            <w:vAlign w:val="center"/>
          </w:tcPr>
          <w:p w14:paraId="7CA53A07"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38</w:t>
            </w:r>
          </w:p>
        </w:tc>
        <w:tc>
          <w:tcPr>
            <w:tcW w:w="9785" w:type="dxa"/>
            <w:vAlign w:val="center"/>
          </w:tcPr>
          <w:p w14:paraId="69B00664"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聚焦重点环节、重点事项</w:t>
            </w:r>
            <w:r>
              <w:rPr>
                <w:rFonts w:ascii="Times New Roman" w:hAnsi="Times New Roman" w:hint="eastAsia"/>
                <w:color w:val="000000"/>
                <w:kern w:val="0"/>
                <w:sz w:val="24"/>
              </w:rPr>
              <w:t>，</w:t>
            </w:r>
            <w:r>
              <w:rPr>
                <w:rFonts w:ascii="Times New Roman" w:hAnsi="Times New Roman"/>
                <w:color w:val="000000"/>
                <w:kern w:val="0"/>
                <w:sz w:val="24"/>
              </w:rPr>
              <w:t>分行业领域编制企业合规指引。建立新入经营主体合规告知制度，推动新入经营主体主动开展合规建设。推进</w:t>
            </w:r>
            <w:r>
              <w:rPr>
                <w:rFonts w:ascii="宋体" w:hAnsi="宋体"/>
                <w:color w:val="000000"/>
                <w:kern w:val="0"/>
                <w:sz w:val="24"/>
              </w:rPr>
              <w:t>“</w:t>
            </w:r>
            <w:r>
              <w:rPr>
                <w:rFonts w:ascii="Times New Roman" w:hAnsi="Times New Roman"/>
                <w:color w:val="000000"/>
                <w:kern w:val="0"/>
                <w:sz w:val="24"/>
              </w:rPr>
              <w:t>合规指导</w:t>
            </w:r>
            <w:r>
              <w:rPr>
                <w:rFonts w:ascii="宋体" w:hAnsi="宋体"/>
                <w:color w:val="000000"/>
                <w:kern w:val="0"/>
                <w:sz w:val="24"/>
              </w:rPr>
              <w:t>”“</w:t>
            </w:r>
            <w:r>
              <w:rPr>
                <w:rFonts w:ascii="Times New Roman" w:hAnsi="Times New Roman"/>
                <w:color w:val="000000"/>
                <w:kern w:val="0"/>
                <w:sz w:val="24"/>
              </w:rPr>
              <w:t>合规体检</w:t>
            </w:r>
            <w:r>
              <w:rPr>
                <w:rFonts w:ascii="宋体" w:hAnsi="宋体"/>
                <w:color w:val="000000"/>
                <w:kern w:val="0"/>
                <w:sz w:val="24"/>
              </w:rPr>
              <w:t>”</w:t>
            </w:r>
            <w:r>
              <w:rPr>
                <w:rFonts w:ascii="Times New Roman" w:hAnsi="Times New Roman"/>
                <w:color w:val="000000"/>
                <w:kern w:val="0"/>
                <w:sz w:val="24"/>
              </w:rPr>
              <w:t>等服务全覆盖。</w:t>
            </w:r>
          </w:p>
        </w:tc>
        <w:tc>
          <w:tcPr>
            <w:tcW w:w="1917" w:type="dxa"/>
            <w:vAlign w:val="center"/>
          </w:tcPr>
          <w:p w14:paraId="20F2213E"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市司法局、</w:t>
            </w:r>
          </w:p>
          <w:p w14:paraId="03F2051E"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各行业主管部门</w:t>
            </w:r>
          </w:p>
        </w:tc>
        <w:tc>
          <w:tcPr>
            <w:tcW w:w="1377" w:type="dxa"/>
            <w:vAlign w:val="center"/>
          </w:tcPr>
          <w:p w14:paraId="76BB0F36"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B40F0C1" w14:textId="77777777">
        <w:trPr>
          <w:cantSplit/>
          <w:trHeight w:val="454"/>
          <w:jc w:val="center"/>
        </w:trPr>
        <w:tc>
          <w:tcPr>
            <w:tcW w:w="619" w:type="dxa"/>
            <w:vAlign w:val="center"/>
          </w:tcPr>
          <w:p w14:paraId="143D6DFA"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39</w:t>
            </w:r>
          </w:p>
        </w:tc>
        <w:tc>
          <w:tcPr>
            <w:tcW w:w="9785" w:type="dxa"/>
            <w:vAlign w:val="center"/>
          </w:tcPr>
          <w:p w14:paraId="13B0CC84"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在教育培训、养老、美容美发、运动健身等信用风险较高的预付式消费领域推行</w:t>
            </w:r>
            <w:r>
              <w:rPr>
                <w:rFonts w:ascii="宋体" w:hAnsi="宋体"/>
                <w:color w:val="000000"/>
                <w:kern w:val="0"/>
                <w:sz w:val="24"/>
              </w:rPr>
              <w:t>“</w:t>
            </w:r>
            <w:r>
              <w:rPr>
                <w:rFonts w:ascii="Times New Roman" w:hAnsi="Times New Roman"/>
                <w:color w:val="000000"/>
                <w:kern w:val="0"/>
                <w:sz w:val="24"/>
              </w:rPr>
              <w:t>公证提存</w:t>
            </w:r>
            <w:r>
              <w:rPr>
                <w:rFonts w:ascii="宋体" w:hAnsi="宋体"/>
                <w:color w:val="000000"/>
                <w:kern w:val="0"/>
                <w:sz w:val="24"/>
              </w:rPr>
              <w:t>”</w:t>
            </w:r>
            <w:r>
              <w:rPr>
                <w:rFonts w:ascii="Times New Roman" w:hAnsi="Times New Roman"/>
                <w:color w:val="000000"/>
                <w:kern w:val="0"/>
                <w:sz w:val="24"/>
              </w:rPr>
              <w:t>监管模式，促进经营主体诚信经营。</w:t>
            </w:r>
          </w:p>
        </w:tc>
        <w:tc>
          <w:tcPr>
            <w:tcW w:w="1917" w:type="dxa"/>
            <w:vAlign w:val="center"/>
          </w:tcPr>
          <w:p w14:paraId="00A2A7E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市司法局、</w:t>
            </w:r>
          </w:p>
          <w:p w14:paraId="7B0F1C3E"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各行业主管部门</w:t>
            </w:r>
          </w:p>
        </w:tc>
        <w:tc>
          <w:tcPr>
            <w:tcW w:w="1377" w:type="dxa"/>
            <w:vAlign w:val="center"/>
          </w:tcPr>
          <w:p w14:paraId="0DBB733F"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AF046F9" w14:textId="77777777">
        <w:trPr>
          <w:cantSplit/>
          <w:trHeight w:val="454"/>
          <w:jc w:val="center"/>
        </w:trPr>
        <w:tc>
          <w:tcPr>
            <w:tcW w:w="10404" w:type="dxa"/>
            <w:gridSpan w:val="2"/>
            <w:vAlign w:val="center"/>
          </w:tcPr>
          <w:p w14:paraId="35611726"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（二十二）完善企业信用激励、约束机制。</w:t>
            </w:r>
          </w:p>
        </w:tc>
        <w:tc>
          <w:tcPr>
            <w:tcW w:w="1917" w:type="dxa"/>
            <w:vAlign w:val="center"/>
          </w:tcPr>
          <w:p w14:paraId="68C1CA2B"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6D75CAC1"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22E40C67" w14:textId="77777777">
        <w:trPr>
          <w:cantSplit/>
          <w:trHeight w:val="454"/>
          <w:jc w:val="center"/>
        </w:trPr>
        <w:tc>
          <w:tcPr>
            <w:tcW w:w="619" w:type="dxa"/>
            <w:vAlign w:val="center"/>
          </w:tcPr>
          <w:p w14:paraId="4EDF97D9"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40</w:t>
            </w:r>
          </w:p>
        </w:tc>
        <w:tc>
          <w:tcPr>
            <w:tcW w:w="9785" w:type="dxa"/>
            <w:vAlign w:val="center"/>
          </w:tcPr>
          <w:p w14:paraId="72D12E0E"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制定方案，开展</w:t>
            </w:r>
            <w:r>
              <w:rPr>
                <w:rFonts w:ascii="宋体" w:hAnsi="宋体"/>
                <w:color w:val="000000"/>
                <w:kern w:val="0"/>
                <w:sz w:val="24"/>
              </w:rPr>
              <w:t>“</w:t>
            </w:r>
            <w:r>
              <w:rPr>
                <w:rFonts w:ascii="Times New Roman" w:hAnsi="Times New Roman"/>
                <w:color w:val="000000"/>
                <w:kern w:val="0"/>
                <w:sz w:val="24"/>
              </w:rPr>
              <w:t>助企增信年</w:t>
            </w:r>
            <w:r>
              <w:rPr>
                <w:rFonts w:ascii="宋体" w:hAnsi="宋体"/>
                <w:color w:val="000000"/>
                <w:kern w:val="0"/>
                <w:sz w:val="24"/>
              </w:rPr>
              <w:t>”“</w:t>
            </w:r>
            <w:r>
              <w:rPr>
                <w:rFonts w:ascii="Times New Roman" w:hAnsi="Times New Roman"/>
                <w:color w:val="000000"/>
                <w:kern w:val="0"/>
                <w:sz w:val="24"/>
              </w:rPr>
              <w:t>守合同重信用</w:t>
            </w:r>
            <w:r>
              <w:rPr>
                <w:rFonts w:ascii="宋体" w:hAnsi="宋体"/>
                <w:color w:val="000000"/>
                <w:kern w:val="0"/>
                <w:sz w:val="24"/>
              </w:rPr>
              <w:t>”</w:t>
            </w:r>
            <w:r>
              <w:rPr>
                <w:rFonts w:ascii="Times New Roman" w:hAnsi="Times New Roman"/>
                <w:color w:val="000000"/>
                <w:kern w:val="0"/>
                <w:sz w:val="24"/>
              </w:rPr>
              <w:t>企业公示等活动，助力企业增信用。</w:t>
            </w:r>
          </w:p>
        </w:tc>
        <w:tc>
          <w:tcPr>
            <w:tcW w:w="1917" w:type="dxa"/>
            <w:vAlign w:val="center"/>
          </w:tcPr>
          <w:p w14:paraId="5DE0C133"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1260B3F2"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7EAC716" w14:textId="77777777">
        <w:trPr>
          <w:cantSplit/>
          <w:trHeight w:val="454"/>
          <w:jc w:val="center"/>
        </w:trPr>
        <w:tc>
          <w:tcPr>
            <w:tcW w:w="619" w:type="dxa"/>
            <w:vAlign w:val="center"/>
          </w:tcPr>
          <w:p w14:paraId="21BC9BD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lastRenderedPageBreak/>
              <w:t>41</w:t>
            </w:r>
          </w:p>
        </w:tc>
        <w:tc>
          <w:tcPr>
            <w:tcW w:w="9785" w:type="dxa"/>
            <w:vAlign w:val="center"/>
          </w:tcPr>
          <w:p w14:paraId="5BB276F1"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完善守信激励措施清单，围绕医疗、托育、养老、家政、旅游、购物、出行等重点领域，拓展</w:t>
            </w:r>
            <w:r>
              <w:rPr>
                <w:rFonts w:ascii="宋体" w:hAnsi="宋体"/>
                <w:color w:val="000000"/>
                <w:kern w:val="0"/>
                <w:sz w:val="24"/>
              </w:rPr>
              <w:t>“</w:t>
            </w:r>
            <w:r>
              <w:rPr>
                <w:rFonts w:ascii="Times New Roman" w:hAnsi="Times New Roman"/>
                <w:color w:val="000000"/>
                <w:kern w:val="0"/>
                <w:sz w:val="24"/>
              </w:rPr>
              <w:t>信易</w:t>
            </w:r>
            <w:r>
              <w:rPr>
                <w:rFonts w:ascii="Times New Roman" w:hAnsi="Times New Roman"/>
                <w:color w:val="000000"/>
                <w:kern w:val="0"/>
                <w:sz w:val="24"/>
              </w:rPr>
              <w:t>+</w:t>
            </w:r>
            <w:r>
              <w:rPr>
                <w:rFonts w:ascii="宋体" w:hAnsi="宋体"/>
                <w:color w:val="000000"/>
                <w:kern w:val="0"/>
                <w:sz w:val="24"/>
              </w:rPr>
              <w:t>”</w:t>
            </w:r>
            <w:r>
              <w:rPr>
                <w:rFonts w:ascii="Times New Roman" w:hAnsi="Times New Roman"/>
                <w:color w:val="000000"/>
                <w:kern w:val="0"/>
                <w:sz w:val="24"/>
              </w:rPr>
              <w:t>等守信激励、惠民便企场景应用。</w:t>
            </w:r>
          </w:p>
        </w:tc>
        <w:tc>
          <w:tcPr>
            <w:tcW w:w="1917" w:type="dxa"/>
            <w:vAlign w:val="center"/>
          </w:tcPr>
          <w:p w14:paraId="6889E978"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市发展改革委</w:t>
            </w:r>
          </w:p>
        </w:tc>
        <w:tc>
          <w:tcPr>
            <w:tcW w:w="1377" w:type="dxa"/>
            <w:vAlign w:val="center"/>
          </w:tcPr>
          <w:p w14:paraId="0DCE8C58"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0819200" w14:textId="77777777">
        <w:trPr>
          <w:cantSplit/>
          <w:trHeight w:val="454"/>
          <w:jc w:val="center"/>
        </w:trPr>
        <w:tc>
          <w:tcPr>
            <w:tcW w:w="619" w:type="dxa"/>
            <w:vAlign w:val="center"/>
          </w:tcPr>
          <w:p w14:paraId="14E47CE6"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42</w:t>
            </w:r>
          </w:p>
        </w:tc>
        <w:tc>
          <w:tcPr>
            <w:tcW w:w="9785" w:type="dxa"/>
            <w:vAlign w:val="center"/>
          </w:tcPr>
          <w:p w14:paraId="1C98383B"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严格落实省失信惩戒措施清单，防止失信联合惩戒范围随意扩大、泛化。推动信用信息查询全面嵌入行政审批、监管等工作流程，实现</w:t>
            </w:r>
            <w:r>
              <w:rPr>
                <w:rFonts w:ascii="宋体" w:hAnsi="宋体"/>
                <w:color w:val="000000"/>
                <w:kern w:val="0"/>
                <w:sz w:val="24"/>
              </w:rPr>
              <w:t>“</w:t>
            </w:r>
            <w:r>
              <w:rPr>
                <w:rFonts w:ascii="Times New Roman" w:hAnsi="Times New Roman"/>
                <w:color w:val="000000"/>
                <w:kern w:val="0"/>
                <w:sz w:val="24"/>
              </w:rPr>
              <w:t>应查尽查</w:t>
            </w:r>
            <w:r>
              <w:rPr>
                <w:rFonts w:ascii="宋体" w:hAnsi="宋体"/>
                <w:color w:val="000000"/>
                <w:kern w:val="0"/>
                <w:sz w:val="24"/>
              </w:rPr>
              <w:t>”</w:t>
            </w:r>
            <w:r>
              <w:rPr>
                <w:rFonts w:ascii="Times New Roman" w:hAnsi="Times New Roman"/>
                <w:color w:val="000000"/>
                <w:kern w:val="0"/>
                <w:sz w:val="24"/>
              </w:rPr>
              <w:t>。</w:t>
            </w:r>
          </w:p>
        </w:tc>
        <w:tc>
          <w:tcPr>
            <w:tcW w:w="1917" w:type="dxa"/>
            <w:vAlign w:val="center"/>
          </w:tcPr>
          <w:p w14:paraId="16B1FD83"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市发展改革委</w:t>
            </w:r>
          </w:p>
        </w:tc>
        <w:tc>
          <w:tcPr>
            <w:tcW w:w="1377" w:type="dxa"/>
            <w:vAlign w:val="center"/>
          </w:tcPr>
          <w:p w14:paraId="45574868"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862F7D5" w14:textId="77777777">
        <w:trPr>
          <w:cantSplit/>
          <w:trHeight w:val="454"/>
          <w:jc w:val="center"/>
        </w:trPr>
        <w:tc>
          <w:tcPr>
            <w:tcW w:w="10404" w:type="dxa"/>
            <w:gridSpan w:val="2"/>
            <w:vAlign w:val="center"/>
          </w:tcPr>
          <w:p w14:paraId="45CAEA22"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（二十三）完善企业信用修复制度。</w:t>
            </w:r>
          </w:p>
        </w:tc>
        <w:tc>
          <w:tcPr>
            <w:tcW w:w="1917" w:type="dxa"/>
            <w:vAlign w:val="center"/>
          </w:tcPr>
          <w:p w14:paraId="1484F5EB"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4BDAEA7F"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1CA8B197" w14:textId="77777777">
        <w:trPr>
          <w:cantSplit/>
          <w:trHeight w:val="454"/>
          <w:jc w:val="center"/>
        </w:trPr>
        <w:tc>
          <w:tcPr>
            <w:tcW w:w="619" w:type="dxa"/>
            <w:vAlign w:val="center"/>
          </w:tcPr>
          <w:p w14:paraId="77CA7D38"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43</w:t>
            </w:r>
          </w:p>
        </w:tc>
        <w:tc>
          <w:tcPr>
            <w:tcW w:w="9785" w:type="dxa"/>
            <w:vAlign w:val="center"/>
          </w:tcPr>
          <w:p w14:paraId="2E32BB31"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深化信用修复</w:t>
            </w:r>
            <w:r>
              <w:rPr>
                <w:rFonts w:ascii="宋体" w:hAnsi="宋体"/>
                <w:color w:val="000000"/>
                <w:kern w:val="0"/>
                <w:sz w:val="24"/>
              </w:rPr>
              <w:t>“</w:t>
            </w:r>
            <w:r>
              <w:rPr>
                <w:rFonts w:ascii="Times New Roman" w:hAnsi="Times New Roman"/>
                <w:color w:val="000000"/>
                <w:kern w:val="0"/>
                <w:sz w:val="24"/>
              </w:rPr>
              <w:t>一件事</w:t>
            </w:r>
            <w:r>
              <w:rPr>
                <w:rFonts w:ascii="宋体" w:hAnsi="宋体"/>
                <w:color w:val="000000"/>
                <w:kern w:val="0"/>
                <w:sz w:val="24"/>
              </w:rPr>
              <w:t>”</w:t>
            </w:r>
            <w:r>
              <w:rPr>
                <w:rFonts w:ascii="Times New Roman" w:hAnsi="Times New Roman"/>
                <w:color w:val="000000"/>
                <w:kern w:val="0"/>
                <w:sz w:val="24"/>
              </w:rPr>
              <w:t>改革，强化司法机关、行业主管部门、信用服务机构等协同修复和结果共享互认，实现</w:t>
            </w:r>
            <w:r>
              <w:rPr>
                <w:rFonts w:ascii="宋体" w:hAnsi="宋体"/>
                <w:color w:val="000000"/>
                <w:kern w:val="0"/>
                <w:sz w:val="24"/>
              </w:rPr>
              <w:t>“</w:t>
            </w:r>
            <w:r>
              <w:rPr>
                <w:rFonts w:ascii="Times New Roman" w:hAnsi="Times New Roman"/>
                <w:color w:val="000000"/>
                <w:kern w:val="0"/>
                <w:sz w:val="24"/>
              </w:rPr>
              <w:t>一次申请，全面修复</w:t>
            </w:r>
            <w:r>
              <w:rPr>
                <w:rFonts w:ascii="宋体" w:hAnsi="宋体"/>
                <w:color w:val="000000"/>
                <w:kern w:val="0"/>
                <w:sz w:val="24"/>
              </w:rPr>
              <w:t>”</w:t>
            </w:r>
            <w:r>
              <w:rPr>
                <w:rFonts w:ascii="Times New Roman" w:hAnsi="Times New Roman"/>
                <w:color w:val="000000"/>
                <w:kern w:val="0"/>
                <w:sz w:val="24"/>
              </w:rPr>
              <w:t>。</w:t>
            </w:r>
          </w:p>
        </w:tc>
        <w:tc>
          <w:tcPr>
            <w:tcW w:w="1917" w:type="dxa"/>
            <w:vAlign w:val="center"/>
          </w:tcPr>
          <w:p w14:paraId="6B44055D"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市发展改革委</w:t>
            </w:r>
          </w:p>
        </w:tc>
        <w:tc>
          <w:tcPr>
            <w:tcW w:w="1377" w:type="dxa"/>
            <w:vAlign w:val="center"/>
          </w:tcPr>
          <w:p w14:paraId="2B8EB453"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91C1CAA" w14:textId="77777777">
        <w:trPr>
          <w:cantSplit/>
          <w:trHeight w:val="454"/>
          <w:jc w:val="center"/>
        </w:trPr>
        <w:tc>
          <w:tcPr>
            <w:tcW w:w="619" w:type="dxa"/>
            <w:vAlign w:val="center"/>
          </w:tcPr>
          <w:p w14:paraId="0EB1B4BE"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hint="eastAsia"/>
                <w:color w:val="000000"/>
                <w:kern w:val="0"/>
                <w:sz w:val="24"/>
              </w:rPr>
              <w:t>44</w:t>
            </w:r>
          </w:p>
        </w:tc>
        <w:tc>
          <w:tcPr>
            <w:tcW w:w="9785" w:type="dxa"/>
            <w:vAlign w:val="center"/>
          </w:tcPr>
          <w:p w14:paraId="526F8A0E" w14:textId="77777777" w:rsidR="00000000" w:rsidRDefault="00000000">
            <w:pPr>
              <w:autoSpaceDE w:val="0"/>
              <w:autoSpaceDN w:val="0"/>
              <w:adjustRightInd w:val="0"/>
              <w:spacing w:line="350" w:lineRule="exact"/>
              <w:jc w:val="left"/>
              <w:rPr>
                <w:rFonts w:ascii="Times New Roman" w:hAnsi="Times New Roman"/>
                <w:color w:val="000000"/>
                <w:kern w:val="0"/>
                <w:sz w:val="24"/>
              </w:rPr>
            </w:pPr>
            <w:r>
              <w:rPr>
                <w:rFonts w:ascii="Times New Roman" w:hAnsi="Times New Roman"/>
                <w:color w:val="000000"/>
                <w:kern w:val="0"/>
                <w:sz w:val="24"/>
              </w:rPr>
              <w:t>推行信用信息</w:t>
            </w:r>
            <w:r>
              <w:rPr>
                <w:rFonts w:ascii="宋体" w:hAnsi="宋体"/>
                <w:color w:val="000000"/>
                <w:kern w:val="0"/>
                <w:sz w:val="24"/>
              </w:rPr>
              <w:t>“</w:t>
            </w:r>
            <w:r>
              <w:rPr>
                <w:rFonts w:ascii="Times New Roman" w:hAnsi="Times New Roman"/>
                <w:color w:val="000000"/>
                <w:kern w:val="0"/>
                <w:sz w:val="24"/>
              </w:rPr>
              <w:t>无感修复</w:t>
            </w:r>
            <w:r>
              <w:rPr>
                <w:rFonts w:ascii="宋体" w:hAnsi="宋体"/>
                <w:color w:val="000000"/>
                <w:kern w:val="0"/>
                <w:sz w:val="24"/>
              </w:rPr>
              <w:t>”</w:t>
            </w:r>
            <w:r>
              <w:rPr>
                <w:rFonts w:ascii="Times New Roman" w:hAnsi="Times New Roman"/>
                <w:color w:val="000000"/>
                <w:kern w:val="0"/>
                <w:sz w:val="24"/>
              </w:rPr>
              <w:t>新模式，在企业授权并出具承诺书后，对已经履行行政处罚决定、改正违法行为且达到最短公示期的，由行政执法部门及时主动帮助企业修复信用信息。开展失信问题专项治理行动，推动严重违法失信行为主体整改退出严重失信主体名单。</w:t>
            </w:r>
          </w:p>
        </w:tc>
        <w:tc>
          <w:tcPr>
            <w:tcW w:w="1917" w:type="dxa"/>
            <w:vAlign w:val="center"/>
          </w:tcPr>
          <w:p w14:paraId="1C101B4C"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市发展改革委</w:t>
            </w:r>
          </w:p>
        </w:tc>
        <w:tc>
          <w:tcPr>
            <w:tcW w:w="1377" w:type="dxa"/>
            <w:vAlign w:val="center"/>
          </w:tcPr>
          <w:p w14:paraId="30F3EEC7"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36A7086" w14:textId="77777777">
        <w:trPr>
          <w:cantSplit/>
          <w:trHeight w:val="454"/>
          <w:jc w:val="center"/>
        </w:trPr>
        <w:tc>
          <w:tcPr>
            <w:tcW w:w="10404" w:type="dxa"/>
            <w:gridSpan w:val="2"/>
            <w:vAlign w:val="center"/>
          </w:tcPr>
          <w:p w14:paraId="66846D76"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（二十四）完善纠纷多元调解机制。</w:t>
            </w:r>
          </w:p>
        </w:tc>
        <w:tc>
          <w:tcPr>
            <w:tcW w:w="1917" w:type="dxa"/>
            <w:vAlign w:val="center"/>
          </w:tcPr>
          <w:p w14:paraId="0168418E"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p>
        </w:tc>
        <w:tc>
          <w:tcPr>
            <w:tcW w:w="1377" w:type="dxa"/>
            <w:vAlign w:val="center"/>
          </w:tcPr>
          <w:p w14:paraId="17A79777"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p>
        </w:tc>
      </w:tr>
      <w:tr w:rsidR="00000000" w14:paraId="3EFC38A9" w14:textId="77777777">
        <w:trPr>
          <w:cantSplit/>
          <w:trHeight w:val="454"/>
          <w:jc w:val="center"/>
        </w:trPr>
        <w:tc>
          <w:tcPr>
            <w:tcW w:w="619" w:type="dxa"/>
            <w:vAlign w:val="center"/>
          </w:tcPr>
          <w:p w14:paraId="756B7DCF" w14:textId="77777777" w:rsidR="00000000" w:rsidRDefault="00000000">
            <w:pPr>
              <w:autoSpaceDE w:val="0"/>
              <w:autoSpaceDN w:val="0"/>
              <w:adjustRightInd w:val="0"/>
              <w:spacing w:line="35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45</w:t>
            </w:r>
          </w:p>
        </w:tc>
        <w:tc>
          <w:tcPr>
            <w:tcW w:w="9785" w:type="dxa"/>
            <w:vAlign w:val="center"/>
          </w:tcPr>
          <w:p w14:paraId="37C66E71" w14:textId="77777777" w:rsidR="00000000" w:rsidRDefault="00000000">
            <w:pPr>
              <w:autoSpaceDE w:val="0"/>
              <w:autoSpaceDN w:val="0"/>
              <w:adjustRightInd w:val="0"/>
              <w:spacing w:line="350" w:lineRule="exact"/>
              <w:jc w:val="left"/>
              <w:rPr>
                <w:rFonts w:ascii="Times New Roman" w:hAnsi="Times New Roman"/>
                <w:color w:val="000000"/>
                <w:kern w:val="0"/>
                <w:sz w:val="24"/>
              </w:rPr>
            </w:pPr>
            <w:r>
              <w:rPr>
                <w:rFonts w:ascii="Times New Roman" w:hAnsi="Times New Roman"/>
                <w:color w:val="000000"/>
                <w:kern w:val="0"/>
                <w:sz w:val="24"/>
              </w:rPr>
              <w:t>推广运用</w:t>
            </w:r>
            <w:r>
              <w:rPr>
                <w:rFonts w:ascii="宋体" w:hAnsi="宋体"/>
                <w:color w:val="000000"/>
                <w:kern w:val="0"/>
                <w:sz w:val="24"/>
              </w:rPr>
              <w:t>“</w:t>
            </w:r>
            <w:r>
              <w:rPr>
                <w:rFonts w:ascii="Times New Roman" w:hAnsi="Times New Roman"/>
                <w:color w:val="000000"/>
                <w:kern w:val="0"/>
                <w:sz w:val="24"/>
              </w:rPr>
              <w:t>六尺巷工作法</w:t>
            </w:r>
            <w:r>
              <w:rPr>
                <w:rFonts w:ascii="宋体" w:hAnsi="宋体"/>
                <w:color w:val="000000"/>
                <w:kern w:val="0"/>
                <w:sz w:val="24"/>
              </w:rPr>
              <w:t>”</w:t>
            </w:r>
            <w:r>
              <w:rPr>
                <w:rFonts w:ascii="Times New Roman" w:hAnsi="Times New Roman" w:hint="eastAsia"/>
                <w:color w:val="000000"/>
                <w:kern w:val="0"/>
                <w:sz w:val="24"/>
              </w:rPr>
              <w:t>，</w:t>
            </w:r>
            <w:r>
              <w:rPr>
                <w:rFonts w:ascii="Times New Roman" w:hAnsi="Times New Roman"/>
                <w:color w:val="000000"/>
                <w:kern w:val="0"/>
                <w:sz w:val="24"/>
              </w:rPr>
              <w:t>发挥村居</w:t>
            </w:r>
            <w:r>
              <w:rPr>
                <w:rFonts w:ascii="宋体" w:hAnsi="宋体"/>
                <w:color w:val="000000"/>
                <w:kern w:val="0"/>
                <w:sz w:val="24"/>
              </w:rPr>
              <w:t>“</w:t>
            </w:r>
            <w:r>
              <w:rPr>
                <w:rFonts w:ascii="Times New Roman" w:hAnsi="Times New Roman"/>
                <w:color w:val="000000"/>
                <w:kern w:val="0"/>
                <w:sz w:val="24"/>
              </w:rPr>
              <w:t>微法庭</w:t>
            </w:r>
            <w:r>
              <w:rPr>
                <w:rFonts w:ascii="宋体" w:hAnsi="宋体"/>
                <w:color w:val="000000"/>
                <w:kern w:val="0"/>
                <w:sz w:val="24"/>
              </w:rPr>
              <w:t>”</w:t>
            </w:r>
            <w:r>
              <w:rPr>
                <w:rFonts w:ascii="Times New Roman" w:hAnsi="Times New Roman"/>
                <w:color w:val="000000"/>
                <w:kern w:val="0"/>
                <w:sz w:val="24"/>
              </w:rPr>
              <w:t>作用</w:t>
            </w:r>
            <w:r>
              <w:rPr>
                <w:rFonts w:ascii="Times New Roman" w:hAnsi="Times New Roman" w:hint="eastAsia"/>
                <w:color w:val="000000"/>
                <w:kern w:val="0"/>
                <w:sz w:val="24"/>
              </w:rPr>
              <w:t>，</w:t>
            </w:r>
            <w:r>
              <w:rPr>
                <w:rFonts w:ascii="Times New Roman" w:hAnsi="Times New Roman"/>
                <w:color w:val="000000"/>
                <w:kern w:val="0"/>
                <w:sz w:val="24"/>
              </w:rPr>
              <w:t>推动民事、商事、行政等各类涉企纠纷妥善化解。构建完善人民调解、司法调解、行政调解、行业性专业性调解衔接联动的大调解工作格局。</w:t>
            </w:r>
          </w:p>
        </w:tc>
        <w:tc>
          <w:tcPr>
            <w:tcW w:w="1917" w:type="dxa"/>
            <w:vAlign w:val="center"/>
          </w:tcPr>
          <w:p w14:paraId="5287A710"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市中级人民法院、市司法局</w:t>
            </w:r>
          </w:p>
        </w:tc>
        <w:tc>
          <w:tcPr>
            <w:tcW w:w="1377" w:type="dxa"/>
            <w:vAlign w:val="center"/>
          </w:tcPr>
          <w:p w14:paraId="3920EBA0"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9C8CE74" w14:textId="77777777">
        <w:trPr>
          <w:cantSplit/>
          <w:trHeight w:val="454"/>
          <w:jc w:val="center"/>
        </w:trPr>
        <w:tc>
          <w:tcPr>
            <w:tcW w:w="619" w:type="dxa"/>
            <w:vAlign w:val="center"/>
          </w:tcPr>
          <w:p w14:paraId="6D167592"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hint="eastAsia"/>
                <w:color w:val="000000"/>
                <w:kern w:val="0"/>
                <w:sz w:val="24"/>
              </w:rPr>
              <w:t>46</w:t>
            </w:r>
          </w:p>
        </w:tc>
        <w:tc>
          <w:tcPr>
            <w:tcW w:w="9785" w:type="dxa"/>
            <w:vAlign w:val="center"/>
          </w:tcPr>
          <w:p w14:paraId="11A95B80" w14:textId="77777777" w:rsidR="00000000" w:rsidRDefault="00000000">
            <w:pPr>
              <w:autoSpaceDE w:val="0"/>
              <w:autoSpaceDN w:val="0"/>
              <w:adjustRightInd w:val="0"/>
              <w:spacing w:line="350" w:lineRule="exact"/>
              <w:jc w:val="left"/>
              <w:rPr>
                <w:rFonts w:ascii="Times New Roman" w:hAnsi="Times New Roman"/>
                <w:color w:val="000000"/>
                <w:kern w:val="0"/>
                <w:sz w:val="24"/>
              </w:rPr>
            </w:pPr>
            <w:r>
              <w:rPr>
                <w:rFonts w:ascii="Times New Roman" w:hAnsi="Times New Roman"/>
                <w:color w:val="000000"/>
                <w:kern w:val="0"/>
                <w:sz w:val="24"/>
              </w:rPr>
              <w:t>发挥</w:t>
            </w:r>
            <w:r>
              <w:rPr>
                <w:rFonts w:ascii="宋体" w:hAnsi="宋体"/>
                <w:color w:val="000000"/>
                <w:kern w:val="0"/>
                <w:sz w:val="24"/>
              </w:rPr>
              <w:t>“</w:t>
            </w:r>
            <w:r>
              <w:rPr>
                <w:rFonts w:ascii="Times New Roman" w:hAnsi="Times New Roman"/>
                <w:color w:val="000000"/>
                <w:kern w:val="0"/>
                <w:sz w:val="24"/>
              </w:rPr>
              <w:t>法院</w:t>
            </w:r>
            <w:r>
              <w:rPr>
                <w:rFonts w:ascii="Times New Roman" w:hAnsi="Times New Roman"/>
                <w:color w:val="000000"/>
                <w:kern w:val="0"/>
                <w:sz w:val="24"/>
              </w:rPr>
              <w:t>+</w:t>
            </w:r>
            <w:r>
              <w:rPr>
                <w:rFonts w:ascii="Times New Roman" w:hAnsi="Times New Roman"/>
                <w:color w:val="000000"/>
                <w:kern w:val="0"/>
                <w:sz w:val="24"/>
              </w:rPr>
              <w:t>商会</w:t>
            </w:r>
            <w:r>
              <w:rPr>
                <w:rFonts w:ascii="宋体" w:hAnsi="宋体"/>
                <w:color w:val="000000"/>
                <w:kern w:val="0"/>
                <w:sz w:val="24"/>
              </w:rPr>
              <w:t>”</w:t>
            </w:r>
            <w:r>
              <w:rPr>
                <w:rFonts w:ascii="Times New Roman" w:hAnsi="Times New Roman"/>
                <w:color w:val="000000"/>
                <w:kern w:val="0"/>
                <w:sz w:val="24"/>
              </w:rPr>
              <w:t>调解优势，推进</w:t>
            </w:r>
            <w:r>
              <w:rPr>
                <w:rFonts w:ascii="宋体" w:hAnsi="宋体"/>
                <w:color w:val="000000"/>
                <w:kern w:val="0"/>
                <w:sz w:val="24"/>
              </w:rPr>
              <w:t>“</w:t>
            </w:r>
            <w:r>
              <w:rPr>
                <w:rFonts w:ascii="Times New Roman" w:hAnsi="Times New Roman"/>
                <w:color w:val="000000"/>
                <w:kern w:val="0"/>
                <w:sz w:val="24"/>
              </w:rPr>
              <w:t>多元调解</w:t>
            </w:r>
            <w:r>
              <w:rPr>
                <w:rFonts w:ascii="Times New Roman" w:hAnsi="Times New Roman"/>
                <w:color w:val="000000"/>
                <w:kern w:val="0"/>
                <w:sz w:val="24"/>
              </w:rPr>
              <w:t>+</w:t>
            </w:r>
            <w:r>
              <w:rPr>
                <w:rFonts w:ascii="Times New Roman" w:hAnsi="Times New Roman"/>
                <w:color w:val="000000"/>
                <w:kern w:val="0"/>
                <w:sz w:val="24"/>
              </w:rPr>
              <w:t>司法确认</w:t>
            </w:r>
            <w:r>
              <w:rPr>
                <w:rFonts w:ascii="宋体" w:hAnsi="宋体"/>
                <w:color w:val="000000"/>
                <w:kern w:val="0"/>
                <w:sz w:val="24"/>
              </w:rPr>
              <w:t>”</w:t>
            </w:r>
            <w:r>
              <w:rPr>
                <w:rFonts w:ascii="Times New Roman" w:hAnsi="Times New Roman"/>
                <w:color w:val="000000"/>
                <w:kern w:val="0"/>
                <w:sz w:val="24"/>
              </w:rPr>
              <w:t>，提升调解协议执行效率。</w:t>
            </w:r>
          </w:p>
        </w:tc>
        <w:tc>
          <w:tcPr>
            <w:tcW w:w="1917" w:type="dxa"/>
            <w:vAlign w:val="center"/>
          </w:tcPr>
          <w:p w14:paraId="292801E9"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市中级人民法院、市工商联</w:t>
            </w:r>
          </w:p>
        </w:tc>
        <w:tc>
          <w:tcPr>
            <w:tcW w:w="1377" w:type="dxa"/>
            <w:vAlign w:val="center"/>
          </w:tcPr>
          <w:p w14:paraId="7EDE1B43"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F0B97E7" w14:textId="77777777">
        <w:trPr>
          <w:cantSplit/>
          <w:trHeight w:val="454"/>
          <w:jc w:val="center"/>
        </w:trPr>
        <w:tc>
          <w:tcPr>
            <w:tcW w:w="619" w:type="dxa"/>
            <w:vAlign w:val="center"/>
          </w:tcPr>
          <w:p w14:paraId="17A50E63"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hint="eastAsia"/>
                <w:color w:val="000000"/>
                <w:kern w:val="0"/>
                <w:sz w:val="24"/>
              </w:rPr>
              <w:t>47</w:t>
            </w:r>
          </w:p>
        </w:tc>
        <w:tc>
          <w:tcPr>
            <w:tcW w:w="9785" w:type="dxa"/>
            <w:vAlign w:val="center"/>
          </w:tcPr>
          <w:p w14:paraId="3225A210" w14:textId="77777777" w:rsidR="00000000" w:rsidRDefault="00000000">
            <w:pPr>
              <w:autoSpaceDE w:val="0"/>
              <w:autoSpaceDN w:val="0"/>
              <w:adjustRightInd w:val="0"/>
              <w:spacing w:line="350" w:lineRule="exact"/>
              <w:jc w:val="left"/>
              <w:rPr>
                <w:rFonts w:ascii="Times New Roman" w:hAnsi="Times New Roman"/>
                <w:color w:val="000000"/>
                <w:kern w:val="0"/>
                <w:sz w:val="24"/>
              </w:rPr>
            </w:pPr>
            <w:r>
              <w:rPr>
                <w:rFonts w:ascii="Times New Roman" w:hAnsi="Times New Roman"/>
                <w:color w:val="000000"/>
                <w:kern w:val="0"/>
                <w:sz w:val="24"/>
              </w:rPr>
              <w:t>试行商事调解组织按照市场化运作方式提供专业解纷服务，深化律师调解市场化试点，促进商事纠纷实质性化解。</w:t>
            </w:r>
          </w:p>
        </w:tc>
        <w:tc>
          <w:tcPr>
            <w:tcW w:w="1917" w:type="dxa"/>
            <w:vAlign w:val="center"/>
          </w:tcPr>
          <w:p w14:paraId="68C71F32"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市司法局</w:t>
            </w:r>
          </w:p>
        </w:tc>
        <w:tc>
          <w:tcPr>
            <w:tcW w:w="1377" w:type="dxa"/>
            <w:vAlign w:val="center"/>
          </w:tcPr>
          <w:p w14:paraId="3A04A3C5"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7DEC4FC" w14:textId="77777777">
        <w:trPr>
          <w:cantSplit/>
          <w:trHeight w:val="454"/>
          <w:jc w:val="center"/>
        </w:trPr>
        <w:tc>
          <w:tcPr>
            <w:tcW w:w="10404" w:type="dxa"/>
            <w:gridSpan w:val="2"/>
            <w:vAlign w:val="center"/>
          </w:tcPr>
          <w:p w14:paraId="5ACF62DE"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r>
              <w:rPr>
                <w:rFonts w:ascii="方正黑体简体" w:eastAsia="方正黑体简体" w:hAnsi="方正黑体简体" w:cs="方正黑体简体" w:hint="eastAsia"/>
                <w:color w:val="000000"/>
                <w:kern w:val="0"/>
                <w:sz w:val="24"/>
              </w:rPr>
              <w:t>三、推进国际化营商环境建设</w:t>
            </w:r>
          </w:p>
        </w:tc>
        <w:tc>
          <w:tcPr>
            <w:tcW w:w="1917" w:type="dxa"/>
            <w:vAlign w:val="center"/>
          </w:tcPr>
          <w:p w14:paraId="6110B257"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p>
        </w:tc>
        <w:tc>
          <w:tcPr>
            <w:tcW w:w="1377" w:type="dxa"/>
            <w:vAlign w:val="center"/>
          </w:tcPr>
          <w:p w14:paraId="5896AFAF"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p>
        </w:tc>
      </w:tr>
      <w:tr w:rsidR="00000000" w14:paraId="44A60FCA" w14:textId="77777777">
        <w:trPr>
          <w:cantSplit/>
          <w:trHeight w:val="454"/>
          <w:jc w:val="center"/>
        </w:trPr>
        <w:tc>
          <w:tcPr>
            <w:tcW w:w="10404" w:type="dxa"/>
            <w:gridSpan w:val="2"/>
            <w:vAlign w:val="center"/>
          </w:tcPr>
          <w:p w14:paraId="2837CD6B"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lastRenderedPageBreak/>
              <w:t>（二十五）深化国际贸易</w:t>
            </w:r>
            <w:r>
              <w:rPr>
                <w:rFonts w:ascii="宋体" w:hAnsi="宋体"/>
                <w:color w:val="000000"/>
                <w:kern w:val="0"/>
                <w:sz w:val="24"/>
              </w:rPr>
              <w:t>“</w:t>
            </w:r>
            <w:r>
              <w:rPr>
                <w:rFonts w:ascii="Times New Roman" w:eastAsia="方正楷体简体" w:hAnsi="Times New Roman"/>
                <w:color w:val="000000"/>
                <w:kern w:val="0"/>
                <w:sz w:val="24"/>
              </w:rPr>
              <w:t>单一窗口</w:t>
            </w:r>
            <w:r>
              <w:rPr>
                <w:rFonts w:ascii="宋体" w:hAnsi="宋体"/>
                <w:color w:val="000000"/>
                <w:kern w:val="0"/>
                <w:sz w:val="24"/>
              </w:rPr>
              <w:t>”</w:t>
            </w:r>
            <w:r>
              <w:rPr>
                <w:rFonts w:ascii="Times New Roman" w:eastAsia="方正楷体简体" w:hAnsi="Times New Roman"/>
                <w:color w:val="000000"/>
                <w:kern w:val="0"/>
                <w:sz w:val="24"/>
              </w:rPr>
              <w:t>建设。</w:t>
            </w:r>
          </w:p>
        </w:tc>
        <w:tc>
          <w:tcPr>
            <w:tcW w:w="1917" w:type="dxa"/>
            <w:vAlign w:val="center"/>
          </w:tcPr>
          <w:p w14:paraId="7FD03B7D"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p>
        </w:tc>
        <w:tc>
          <w:tcPr>
            <w:tcW w:w="1377" w:type="dxa"/>
            <w:vAlign w:val="center"/>
          </w:tcPr>
          <w:p w14:paraId="72871E65"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p>
        </w:tc>
      </w:tr>
      <w:tr w:rsidR="00000000" w14:paraId="15A13FC6" w14:textId="77777777">
        <w:trPr>
          <w:cantSplit/>
          <w:trHeight w:val="454"/>
          <w:jc w:val="center"/>
        </w:trPr>
        <w:tc>
          <w:tcPr>
            <w:tcW w:w="619" w:type="dxa"/>
            <w:vAlign w:val="center"/>
          </w:tcPr>
          <w:p w14:paraId="31B87F0B" w14:textId="77777777" w:rsidR="00000000" w:rsidRDefault="00000000">
            <w:pPr>
              <w:autoSpaceDE w:val="0"/>
              <w:autoSpaceDN w:val="0"/>
              <w:adjustRightInd w:val="0"/>
              <w:spacing w:line="35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48</w:t>
            </w:r>
          </w:p>
        </w:tc>
        <w:tc>
          <w:tcPr>
            <w:tcW w:w="9785" w:type="dxa"/>
            <w:vAlign w:val="center"/>
          </w:tcPr>
          <w:p w14:paraId="0DEE877D" w14:textId="77777777" w:rsidR="00000000" w:rsidRDefault="00000000">
            <w:pPr>
              <w:autoSpaceDE w:val="0"/>
              <w:autoSpaceDN w:val="0"/>
              <w:adjustRightInd w:val="0"/>
              <w:spacing w:line="350" w:lineRule="exact"/>
              <w:jc w:val="left"/>
              <w:rPr>
                <w:rFonts w:ascii="Times New Roman" w:hAnsi="Times New Roman" w:hint="eastAsia"/>
                <w:color w:val="000000"/>
                <w:kern w:val="0"/>
                <w:sz w:val="24"/>
              </w:rPr>
            </w:pPr>
            <w:r>
              <w:rPr>
                <w:rFonts w:ascii="Times New Roman" w:hAnsi="Times New Roman"/>
                <w:color w:val="000000"/>
                <w:kern w:val="0"/>
                <w:sz w:val="24"/>
              </w:rPr>
              <w:t>加强企业培训，强化单一窗口新功能推广应用，推动跨境贸易领域相关业务统一通过国际贸易</w:t>
            </w:r>
            <w:r>
              <w:rPr>
                <w:rFonts w:ascii="宋体" w:hAnsi="宋体"/>
                <w:color w:val="000000"/>
                <w:kern w:val="0"/>
                <w:sz w:val="24"/>
              </w:rPr>
              <w:t>“</w:t>
            </w:r>
            <w:r>
              <w:rPr>
                <w:rFonts w:ascii="Times New Roman" w:hAnsi="Times New Roman"/>
                <w:color w:val="000000"/>
                <w:kern w:val="0"/>
                <w:sz w:val="24"/>
              </w:rPr>
              <w:t>单一窗口</w:t>
            </w:r>
            <w:r>
              <w:rPr>
                <w:rFonts w:ascii="宋体" w:hAnsi="宋体"/>
                <w:color w:val="000000"/>
                <w:kern w:val="0"/>
                <w:sz w:val="24"/>
              </w:rPr>
              <w:t>”</w:t>
            </w:r>
            <w:r>
              <w:rPr>
                <w:rFonts w:ascii="Times New Roman" w:hAnsi="Times New Roman"/>
                <w:color w:val="000000"/>
                <w:kern w:val="0"/>
                <w:sz w:val="24"/>
              </w:rPr>
              <w:t>办理</w:t>
            </w:r>
            <w:r>
              <w:rPr>
                <w:rFonts w:ascii="Times New Roman" w:hAnsi="Times New Roman" w:hint="eastAsia"/>
                <w:color w:val="000000"/>
                <w:kern w:val="0"/>
                <w:sz w:val="24"/>
              </w:rPr>
              <w:t>，</w:t>
            </w:r>
            <w:r>
              <w:rPr>
                <w:rFonts w:ascii="Times New Roman" w:hAnsi="Times New Roman"/>
                <w:color w:val="000000"/>
                <w:kern w:val="0"/>
                <w:sz w:val="24"/>
              </w:rPr>
              <w:t>配合省口岸办开展智慧口岸公共服务平台建设。持续推广多式联运</w:t>
            </w:r>
            <w:r>
              <w:rPr>
                <w:rFonts w:ascii="宋体" w:hAnsi="宋体"/>
                <w:color w:val="000000"/>
                <w:kern w:val="0"/>
                <w:sz w:val="24"/>
              </w:rPr>
              <w:t>“</w:t>
            </w:r>
            <w:r>
              <w:rPr>
                <w:rFonts w:ascii="Times New Roman" w:hAnsi="Times New Roman"/>
                <w:color w:val="000000"/>
                <w:kern w:val="0"/>
                <w:sz w:val="24"/>
              </w:rPr>
              <w:t>一单制</w:t>
            </w:r>
            <w:r>
              <w:rPr>
                <w:rFonts w:ascii="宋体" w:hAnsi="宋体"/>
                <w:color w:val="000000"/>
                <w:kern w:val="0"/>
                <w:sz w:val="24"/>
              </w:rPr>
              <w:t>”“</w:t>
            </w:r>
            <w:r>
              <w:rPr>
                <w:rFonts w:ascii="Times New Roman" w:hAnsi="Times New Roman"/>
                <w:color w:val="000000"/>
                <w:kern w:val="0"/>
                <w:sz w:val="24"/>
              </w:rPr>
              <w:t>一箱制</w:t>
            </w:r>
            <w:r>
              <w:rPr>
                <w:rFonts w:ascii="宋体" w:hAnsi="宋体"/>
                <w:color w:val="000000"/>
                <w:kern w:val="0"/>
                <w:sz w:val="24"/>
              </w:rPr>
              <w:t>”</w:t>
            </w:r>
            <w:r>
              <w:rPr>
                <w:rFonts w:ascii="Times New Roman" w:hAnsi="Times New Roman"/>
                <w:color w:val="000000"/>
                <w:kern w:val="0"/>
                <w:sz w:val="24"/>
              </w:rPr>
              <w:t>运输模式</w:t>
            </w:r>
            <w:r>
              <w:rPr>
                <w:rFonts w:ascii="Times New Roman" w:hAnsi="Times New Roman" w:hint="eastAsia"/>
                <w:color w:val="000000"/>
                <w:kern w:val="0"/>
                <w:sz w:val="24"/>
              </w:rPr>
              <w:t>。</w:t>
            </w:r>
          </w:p>
        </w:tc>
        <w:tc>
          <w:tcPr>
            <w:tcW w:w="1917" w:type="dxa"/>
            <w:vAlign w:val="center"/>
          </w:tcPr>
          <w:p w14:paraId="12D08C9F"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市商务和外事局</w:t>
            </w:r>
          </w:p>
        </w:tc>
        <w:tc>
          <w:tcPr>
            <w:tcW w:w="1377" w:type="dxa"/>
            <w:vAlign w:val="center"/>
          </w:tcPr>
          <w:p w14:paraId="65AF6ACE"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E6A0607" w14:textId="77777777">
        <w:trPr>
          <w:cantSplit/>
          <w:trHeight w:val="454"/>
          <w:jc w:val="center"/>
        </w:trPr>
        <w:tc>
          <w:tcPr>
            <w:tcW w:w="10404" w:type="dxa"/>
            <w:gridSpan w:val="2"/>
            <w:vAlign w:val="center"/>
          </w:tcPr>
          <w:p w14:paraId="661847B9"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（二十六）提升跨境贸易便利化水平。</w:t>
            </w:r>
          </w:p>
        </w:tc>
        <w:tc>
          <w:tcPr>
            <w:tcW w:w="1917" w:type="dxa"/>
            <w:vAlign w:val="center"/>
          </w:tcPr>
          <w:p w14:paraId="4C847845"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p>
        </w:tc>
        <w:tc>
          <w:tcPr>
            <w:tcW w:w="1377" w:type="dxa"/>
            <w:vAlign w:val="center"/>
          </w:tcPr>
          <w:p w14:paraId="1106D6C5" w14:textId="77777777" w:rsidR="00000000" w:rsidRDefault="00000000">
            <w:pPr>
              <w:autoSpaceDE w:val="0"/>
              <w:autoSpaceDN w:val="0"/>
              <w:adjustRightInd w:val="0"/>
              <w:spacing w:line="350" w:lineRule="exact"/>
              <w:jc w:val="left"/>
              <w:rPr>
                <w:rFonts w:ascii="Times New Roman" w:eastAsia="方正楷体简体" w:hAnsi="Times New Roman"/>
                <w:color w:val="000000"/>
                <w:kern w:val="0"/>
                <w:sz w:val="24"/>
              </w:rPr>
            </w:pPr>
          </w:p>
        </w:tc>
      </w:tr>
      <w:tr w:rsidR="00000000" w14:paraId="0B40037B" w14:textId="77777777">
        <w:trPr>
          <w:cantSplit/>
          <w:trHeight w:val="454"/>
          <w:jc w:val="center"/>
        </w:trPr>
        <w:tc>
          <w:tcPr>
            <w:tcW w:w="619" w:type="dxa"/>
            <w:vAlign w:val="center"/>
          </w:tcPr>
          <w:p w14:paraId="547618CD" w14:textId="77777777" w:rsidR="00000000" w:rsidRDefault="00000000">
            <w:pPr>
              <w:autoSpaceDE w:val="0"/>
              <w:autoSpaceDN w:val="0"/>
              <w:adjustRightInd w:val="0"/>
              <w:spacing w:line="35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49</w:t>
            </w:r>
          </w:p>
        </w:tc>
        <w:tc>
          <w:tcPr>
            <w:tcW w:w="9785" w:type="dxa"/>
            <w:vAlign w:val="center"/>
          </w:tcPr>
          <w:p w14:paraId="51A25DA4" w14:textId="77777777" w:rsidR="00000000" w:rsidRDefault="00000000">
            <w:pPr>
              <w:autoSpaceDE w:val="0"/>
              <w:autoSpaceDN w:val="0"/>
              <w:adjustRightInd w:val="0"/>
              <w:spacing w:line="350" w:lineRule="exact"/>
              <w:jc w:val="left"/>
              <w:rPr>
                <w:rFonts w:ascii="Times New Roman" w:hAnsi="Times New Roman"/>
                <w:color w:val="000000"/>
                <w:kern w:val="0"/>
                <w:sz w:val="24"/>
              </w:rPr>
            </w:pPr>
            <w:r>
              <w:rPr>
                <w:rFonts w:ascii="Times New Roman" w:hAnsi="Times New Roman"/>
                <w:color w:val="000000"/>
                <w:kern w:val="0"/>
                <w:sz w:val="24"/>
              </w:rPr>
              <w:t>推动真空包装等高新技术货物布控查验模式扩大到铁路运输方式，在风险可控基础上适当放宽参与试点企业范围。积极向合肥海关申请，开展</w:t>
            </w:r>
            <w:r>
              <w:rPr>
                <w:rFonts w:ascii="宋体" w:hAnsi="宋体"/>
                <w:color w:val="000000"/>
                <w:kern w:val="0"/>
                <w:sz w:val="24"/>
              </w:rPr>
              <w:t>“</w:t>
            </w:r>
            <w:r>
              <w:rPr>
                <w:rFonts w:ascii="Times New Roman" w:hAnsi="Times New Roman"/>
                <w:color w:val="000000"/>
                <w:kern w:val="0"/>
                <w:sz w:val="24"/>
              </w:rPr>
              <w:t>远程属地查检</w:t>
            </w:r>
            <w:r>
              <w:rPr>
                <w:rFonts w:ascii="宋体" w:hAnsi="宋体"/>
                <w:color w:val="000000"/>
                <w:kern w:val="0"/>
                <w:sz w:val="24"/>
              </w:rPr>
              <w:t>”</w:t>
            </w:r>
            <w:r>
              <w:rPr>
                <w:rFonts w:ascii="Times New Roman" w:hAnsi="Times New Roman"/>
                <w:color w:val="000000"/>
                <w:kern w:val="0"/>
                <w:sz w:val="24"/>
              </w:rPr>
              <w:t>和</w:t>
            </w:r>
            <w:r>
              <w:rPr>
                <w:rFonts w:ascii="宋体" w:hAnsi="宋体"/>
                <w:color w:val="000000"/>
                <w:kern w:val="0"/>
                <w:sz w:val="24"/>
              </w:rPr>
              <w:t>“</w:t>
            </w:r>
            <w:r>
              <w:rPr>
                <w:rFonts w:ascii="Times New Roman" w:hAnsi="Times New Roman"/>
                <w:color w:val="000000"/>
                <w:kern w:val="0"/>
                <w:sz w:val="24"/>
              </w:rPr>
              <w:t>批次检验</w:t>
            </w:r>
            <w:r>
              <w:rPr>
                <w:rFonts w:ascii="宋体" w:hAnsi="宋体"/>
                <w:color w:val="000000"/>
                <w:kern w:val="0"/>
                <w:sz w:val="24"/>
              </w:rPr>
              <w:t>”</w:t>
            </w:r>
            <w:r>
              <w:rPr>
                <w:rFonts w:ascii="Times New Roman" w:hAnsi="Times New Roman"/>
                <w:color w:val="000000"/>
                <w:kern w:val="0"/>
                <w:sz w:val="24"/>
              </w:rPr>
              <w:t>监管模式改革，切实降低企业仓储、延时、物流运输等成本。推进动植物及其产品智能检疫审批。</w:t>
            </w:r>
          </w:p>
        </w:tc>
        <w:tc>
          <w:tcPr>
            <w:tcW w:w="1917" w:type="dxa"/>
            <w:vAlign w:val="center"/>
          </w:tcPr>
          <w:p w14:paraId="5CEF4F5E"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蚌埠海关</w:t>
            </w:r>
          </w:p>
        </w:tc>
        <w:tc>
          <w:tcPr>
            <w:tcW w:w="1377" w:type="dxa"/>
            <w:vAlign w:val="center"/>
          </w:tcPr>
          <w:p w14:paraId="63C4AD7A" w14:textId="77777777" w:rsidR="00000000" w:rsidRDefault="00000000">
            <w:pPr>
              <w:autoSpaceDE w:val="0"/>
              <w:autoSpaceDN w:val="0"/>
              <w:adjustRightInd w:val="0"/>
              <w:spacing w:line="35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73E9894" w14:textId="77777777">
        <w:trPr>
          <w:cantSplit/>
          <w:trHeight w:val="454"/>
          <w:jc w:val="center"/>
        </w:trPr>
        <w:tc>
          <w:tcPr>
            <w:tcW w:w="619" w:type="dxa"/>
            <w:vAlign w:val="center"/>
          </w:tcPr>
          <w:p w14:paraId="31D23736"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50</w:t>
            </w:r>
          </w:p>
        </w:tc>
        <w:tc>
          <w:tcPr>
            <w:tcW w:w="9785" w:type="dxa"/>
            <w:vAlign w:val="center"/>
          </w:tcPr>
          <w:p w14:paraId="689CEEED"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落实进口货物内河运费扣减措施。对符合条件的中欧班列回程境内段运费及其相关费用，不计入进口货物完税价格，为进口转关企业提供便利化享惠依据。</w:t>
            </w:r>
          </w:p>
        </w:tc>
        <w:tc>
          <w:tcPr>
            <w:tcW w:w="1917" w:type="dxa"/>
            <w:vAlign w:val="center"/>
          </w:tcPr>
          <w:p w14:paraId="6786F1E8"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蚌埠海关</w:t>
            </w:r>
          </w:p>
        </w:tc>
        <w:tc>
          <w:tcPr>
            <w:tcW w:w="1377" w:type="dxa"/>
            <w:vAlign w:val="center"/>
          </w:tcPr>
          <w:p w14:paraId="3EFB3C2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3E4D156" w14:textId="77777777">
        <w:trPr>
          <w:cantSplit/>
          <w:trHeight w:val="454"/>
          <w:jc w:val="center"/>
        </w:trPr>
        <w:tc>
          <w:tcPr>
            <w:tcW w:w="619" w:type="dxa"/>
            <w:vAlign w:val="center"/>
          </w:tcPr>
          <w:p w14:paraId="47703065"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51</w:t>
            </w:r>
          </w:p>
        </w:tc>
        <w:tc>
          <w:tcPr>
            <w:tcW w:w="9785" w:type="dxa"/>
            <w:vAlign w:val="center"/>
          </w:tcPr>
          <w:p w14:paraId="35FD693C"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建设蚌埠港空箱智能预警监管平台，改造升级港口信息化设备，提升作业效率。</w:t>
            </w:r>
            <w:r>
              <w:rPr>
                <w:rFonts w:ascii="Times New Roman" w:hAnsi="Times New Roman" w:hint="eastAsia"/>
                <w:color w:val="000000"/>
                <w:kern w:val="0"/>
                <w:sz w:val="24"/>
              </w:rPr>
              <w:t>推动</w:t>
            </w:r>
            <w:r>
              <w:rPr>
                <w:rFonts w:ascii="Times New Roman" w:hAnsi="Times New Roman"/>
                <w:color w:val="000000"/>
                <w:kern w:val="0"/>
                <w:sz w:val="24"/>
              </w:rPr>
              <w:t>开展</w:t>
            </w:r>
            <w:r>
              <w:rPr>
                <w:rFonts w:ascii="宋体" w:hAnsi="宋体"/>
                <w:color w:val="000000"/>
                <w:kern w:val="0"/>
                <w:sz w:val="24"/>
              </w:rPr>
              <w:t>“</w:t>
            </w:r>
            <w:r>
              <w:rPr>
                <w:rFonts w:ascii="Times New Roman" w:hAnsi="Times New Roman"/>
                <w:color w:val="000000"/>
                <w:kern w:val="0"/>
                <w:sz w:val="24"/>
              </w:rPr>
              <w:t>陆改水</w:t>
            </w:r>
            <w:r>
              <w:rPr>
                <w:rFonts w:ascii="宋体" w:hAnsi="宋体"/>
                <w:color w:val="000000"/>
                <w:kern w:val="0"/>
                <w:sz w:val="24"/>
              </w:rPr>
              <w:t>”</w:t>
            </w:r>
            <w:r>
              <w:rPr>
                <w:rFonts w:ascii="Times New Roman" w:hAnsi="Times New Roman"/>
                <w:color w:val="000000"/>
                <w:kern w:val="0"/>
                <w:sz w:val="24"/>
              </w:rPr>
              <w:t>业务。</w:t>
            </w:r>
          </w:p>
        </w:tc>
        <w:tc>
          <w:tcPr>
            <w:tcW w:w="1917" w:type="dxa"/>
            <w:vAlign w:val="center"/>
          </w:tcPr>
          <w:p w14:paraId="55BAF4C4"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市商务和外事局</w:t>
            </w:r>
          </w:p>
        </w:tc>
        <w:tc>
          <w:tcPr>
            <w:tcW w:w="1377" w:type="dxa"/>
            <w:vAlign w:val="center"/>
          </w:tcPr>
          <w:p w14:paraId="004CF878"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655BEF4" w14:textId="77777777">
        <w:trPr>
          <w:cantSplit/>
          <w:trHeight w:val="454"/>
          <w:jc w:val="center"/>
        </w:trPr>
        <w:tc>
          <w:tcPr>
            <w:tcW w:w="10404" w:type="dxa"/>
            <w:gridSpan w:val="2"/>
            <w:vAlign w:val="center"/>
          </w:tcPr>
          <w:p w14:paraId="1C3F9D7F"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（二十七）服务企业开拓国际市场。</w:t>
            </w:r>
          </w:p>
        </w:tc>
        <w:tc>
          <w:tcPr>
            <w:tcW w:w="1917" w:type="dxa"/>
            <w:vAlign w:val="center"/>
          </w:tcPr>
          <w:p w14:paraId="4F89DD6A"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770001E6"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64AE56D4" w14:textId="77777777">
        <w:trPr>
          <w:cantSplit/>
          <w:trHeight w:val="454"/>
          <w:jc w:val="center"/>
        </w:trPr>
        <w:tc>
          <w:tcPr>
            <w:tcW w:w="619" w:type="dxa"/>
            <w:vAlign w:val="center"/>
          </w:tcPr>
          <w:p w14:paraId="328B6DC9"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52</w:t>
            </w:r>
          </w:p>
        </w:tc>
        <w:tc>
          <w:tcPr>
            <w:tcW w:w="9785" w:type="dxa"/>
            <w:vAlign w:val="center"/>
          </w:tcPr>
          <w:p w14:paraId="29FF7503"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落实</w:t>
            </w:r>
            <w:r>
              <w:rPr>
                <w:rFonts w:ascii="宋体" w:hAnsi="宋体"/>
                <w:color w:val="000000"/>
                <w:kern w:val="0"/>
                <w:sz w:val="24"/>
              </w:rPr>
              <w:t>“</w:t>
            </w:r>
            <w:r>
              <w:rPr>
                <w:rFonts w:ascii="Times New Roman" w:hAnsi="Times New Roman"/>
                <w:color w:val="000000"/>
                <w:kern w:val="0"/>
                <w:sz w:val="24"/>
              </w:rPr>
              <w:t>徽动全球</w:t>
            </w:r>
            <w:r>
              <w:rPr>
                <w:rFonts w:ascii="宋体" w:hAnsi="宋体"/>
                <w:color w:val="000000"/>
                <w:kern w:val="0"/>
                <w:sz w:val="24"/>
              </w:rPr>
              <w:t>”</w:t>
            </w:r>
            <w:r>
              <w:rPr>
                <w:rFonts w:ascii="Times New Roman" w:hAnsi="Times New Roman"/>
                <w:color w:val="000000"/>
                <w:kern w:val="0"/>
                <w:sz w:val="24"/>
              </w:rPr>
              <w:t>出海行动，发布</w:t>
            </w:r>
            <w:r>
              <w:rPr>
                <w:rFonts w:ascii="Times New Roman" w:hAnsi="Times New Roman"/>
                <w:color w:val="000000"/>
                <w:kern w:val="0"/>
                <w:sz w:val="24"/>
              </w:rPr>
              <w:t>333</w:t>
            </w:r>
            <w:r>
              <w:rPr>
                <w:rFonts w:ascii="Times New Roman" w:hAnsi="Times New Roman"/>
                <w:color w:val="000000"/>
                <w:kern w:val="0"/>
                <w:sz w:val="24"/>
              </w:rPr>
              <w:t>场境内外推荐展会目录，组织企业参加广交会、华交会等境内国际性展会，对中小企业参加境外展会费用予以相应支持。</w:t>
            </w:r>
            <w:r>
              <w:rPr>
                <w:rFonts w:ascii="Times New Roman" w:hAnsi="Times New Roman" w:hint="eastAsia"/>
                <w:color w:val="000000"/>
                <w:kern w:val="0"/>
                <w:sz w:val="24"/>
              </w:rPr>
              <w:t>积极开展</w:t>
            </w:r>
            <w:r>
              <w:rPr>
                <w:rFonts w:ascii="宋体" w:hAnsi="宋体"/>
                <w:color w:val="000000"/>
                <w:kern w:val="0"/>
                <w:sz w:val="24"/>
              </w:rPr>
              <w:t>“</w:t>
            </w:r>
            <w:r>
              <w:rPr>
                <w:rFonts w:ascii="Times New Roman" w:hAnsi="Times New Roman"/>
                <w:color w:val="000000"/>
                <w:kern w:val="0"/>
                <w:sz w:val="24"/>
              </w:rPr>
              <w:t>外综服平台服务地方</w:t>
            </w:r>
            <w:r>
              <w:rPr>
                <w:rFonts w:ascii="宋体" w:hAnsi="宋体"/>
                <w:color w:val="000000"/>
                <w:kern w:val="0"/>
                <w:sz w:val="24"/>
              </w:rPr>
              <w:t>”</w:t>
            </w:r>
            <w:r>
              <w:rPr>
                <w:rFonts w:ascii="Times New Roman" w:hAnsi="Times New Roman"/>
                <w:color w:val="000000"/>
                <w:kern w:val="0"/>
                <w:sz w:val="24"/>
              </w:rPr>
              <w:t>系列活动。</w:t>
            </w:r>
          </w:p>
        </w:tc>
        <w:tc>
          <w:tcPr>
            <w:tcW w:w="1917" w:type="dxa"/>
            <w:vAlign w:val="center"/>
          </w:tcPr>
          <w:p w14:paraId="4838C862"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市商务和外事局</w:t>
            </w:r>
          </w:p>
        </w:tc>
        <w:tc>
          <w:tcPr>
            <w:tcW w:w="1377" w:type="dxa"/>
            <w:vAlign w:val="center"/>
          </w:tcPr>
          <w:p w14:paraId="456C3EB4"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668AA37" w14:textId="77777777">
        <w:trPr>
          <w:cantSplit/>
          <w:trHeight w:val="454"/>
          <w:jc w:val="center"/>
        </w:trPr>
        <w:tc>
          <w:tcPr>
            <w:tcW w:w="619" w:type="dxa"/>
            <w:vAlign w:val="center"/>
          </w:tcPr>
          <w:p w14:paraId="0F46023F"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53</w:t>
            </w:r>
          </w:p>
        </w:tc>
        <w:tc>
          <w:tcPr>
            <w:tcW w:w="9785" w:type="dxa"/>
            <w:vAlign w:val="center"/>
          </w:tcPr>
          <w:p w14:paraId="0BD0EEB3"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落实</w:t>
            </w:r>
            <w:r>
              <w:rPr>
                <w:rFonts w:ascii="宋体" w:hAnsi="宋体"/>
                <w:color w:val="000000"/>
                <w:kern w:val="0"/>
                <w:sz w:val="24"/>
              </w:rPr>
              <w:t>“</w:t>
            </w:r>
            <w:r>
              <w:rPr>
                <w:rFonts w:ascii="Times New Roman" w:hAnsi="Times New Roman"/>
                <w:color w:val="000000"/>
                <w:kern w:val="0"/>
                <w:sz w:val="24"/>
              </w:rPr>
              <w:t>一企一策</w:t>
            </w:r>
            <w:r>
              <w:rPr>
                <w:rFonts w:ascii="宋体" w:hAnsi="宋体"/>
                <w:color w:val="000000"/>
                <w:kern w:val="0"/>
                <w:sz w:val="24"/>
              </w:rPr>
              <w:t>”</w:t>
            </w:r>
            <w:r>
              <w:rPr>
                <w:rFonts w:ascii="Times New Roman" w:hAnsi="Times New Roman"/>
                <w:color w:val="000000"/>
                <w:kern w:val="0"/>
                <w:sz w:val="24"/>
              </w:rPr>
              <w:t>全险种服务，推行通过中长期出口信用保险提供长期融资支持创新模式。强化对小微企业出口信用保险统保支持，及时向企业发布风险预警分析，防范化解重大信用风险。</w:t>
            </w:r>
          </w:p>
        </w:tc>
        <w:tc>
          <w:tcPr>
            <w:tcW w:w="1917" w:type="dxa"/>
            <w:vAlign w:val="center"/>
          </w:tcPr>
          <w:p w14:paraId="69620B43"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国家金融监管</w:t>
            </w:r>
          </w:p>
          <w:p w14:paraId="7156F90E"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总局蚌埠分局</w:t>
            </w:r>
          </w:p>
        </w:tc>
        <w:tc>
          <w:tcPr>
            <w:tcW w:w="1377" w:type="dxa"/>
            <w:vAlign w:val="center"/>
          </w:tcPr>
          <w:p w14:paraId="309D879F"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9D9C58A" w14:textId="77777777">
        <w:trPr>
          <w:cantSplit/>
          <w:trHeight w:val="454"/>
          <w:jc w:val="center"/>
        </w:trPr>
        <w:tc>
          <w:tcPr>
            <w:tcW w:w="619" w:type="dxa"/>
            <w:vAlign w:val="center"/>
          </w:tcPr>
          <w:p w14:paraId="1856D673"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lastRenderedPageBreak/>
              <w:t>54</w:t>
            </w:r>
          </w:p>
        </w:tc>
        <w:tc>
          <w:tcPr>
            <w:tcW w:w="9785" w:type="dxa"/>
            <w:vAlign w:val="center"/>
          </w:tcPr>
          <w:p w14:paraId="566DC4C8"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开展专精特新</w:t>
            </w:r>
            <w:r>
              <w:rPr>
                <w:rFonts w:ascii="宋体" w:hAnsi="宋体"/>
                <w:color w:val="000000"/>
                <w:kern w:val="0"/>
                <w:sz w:val="24"/>
              </w:rPr>
              <w:t>“</w:t>
            </w:r>
            <w:r>
              <w:rPr>
                <w:rFonts w:ascii="Times New Roman" w:hAnsi="Times New Roman"/>
                <w:color w:val="000000"/>
                <w:kern w:val="0"/>
                <w:sz w:val="24"/>
              </w:rPr>
              <w:t>小巨人</w:t>
            </w:r>
            <w:r>
              <w:rPr>
                <w:rFonts w:ascii="宋体" w:hAnsi="宋体"/>
                <w:color w:val="000000"/>
                <w:kern w:val="0"/>
                <w:sz w:val="24"/>
              </w:rPr>
              <w:t>”</w:t>
            </w:r>
            <w:r>
              <w:rPr>
                <w:rFonts w:ascii="Times New Roman" w:hAnsi="Times New Roman"/>
                <w:color w:val="000000"/>
                <w:kern w:val="0"/>
                <w:sz w:val="24"/>
              </w:rPr>
              <w:t>企业出海企业家培训。组织重点工业企业赴德国、日本等地考察对接。利用世界制造业大会、中国国际中小企业博览会</w:t>
            </w:r>
            <w:r>
              <w:rPr>
                <w:rFonts w:ascii="Times New Roman" w:hAnsi="Times New Roman" w:hint="eastAsia"/>
                <w:color w:val="000000"/>
                <w:kern w:val="0"/>
                <w:sz w:val="24"/>
              </w:rPr>
              <w:t>、</w:t>
            </w:r>
            <w:r>
              <w:rPr>
                <w:rFonts w:ascii="Times New Roman" w:hAnsi="Times New Roman"/>
                <w:color w:val="000000"/>
                <w:kern w:val="0"/>
                <w:sz w:val="24"/>
              </w:rPr>
              <w:t>APEC</w:t>
            </w:r>
            <w:r>
              <w:rPr>
                <w:rFonts w:ascii="Times New Roman" w:hAnsi="Times New Roman"/>
                <w:color w:val="000000"/>
                <w:kern w:val="0"/>
                <w:sz w:val="24"/>
              </w:rPr>
              <w:t>中小企业峰会等平台，宣传推介我市优质中小企业，助力企业开拓国际市场。</w:t>
            </w:r>
          </w:p>
        </w:tc>
        <w:tc>
          <w:tcPr>
            <w:tcW w:w="1917" w:type="dxa"/>
            <w:vAlign w:val="center"/>
          </w:tcPr>
          <w:p w14:paraId="4C22FFAD"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市工信局</w:t>
            </w:r>
          </w:p>
        </w:tc>
        <w:tc>
          <w:tcPr>
            <w:tcW w:w="1377" w:type="dxa"/>
            <w:vAlign w:val="center"/>
          </w:tcPr>
          <w:p w14:paraId="75B77393"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AB92D12" w14:textId="77777777">
        <w:trPr>
          <w:cantSplit/>
          <w:trHeight w:val="454"/>
          <w:jc w:val="center"/>
        </w:trPr>
        <w:tc>
          <w:tcPr>
            <w:tcW w:w="10404" w:type="dxa"/>
            <w:gridSpan w:val="2"/>
            <w:vAlign w:val="center"/>
          </w:tcPr>
          <w:p w14:paraId="527C11C7"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（二十八）打造更加公平便利的外商投资环境。</w:t>
            </w:r>
          </w:p>
        </w:tc>
        <w:tc>
          <w:tcPr>
            <w:tcW w:w="1917" w:type="dxa"/>
            <w:vAlign w:val="center"/>
          </w:tcPr>
          <w:p w14:paraId="7CC2E68A"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5C1347DF"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7E49A755" w14:textId="77777777">
        <w:trPr>
          <w:cantSplit/>
          <w:trHeight w:val="454"/>
          <w:jc w:val="center"/>
        </w:trPr>
        <w:tc>
          <w:tcPr>
            <w:tcW w:w="619" w:type="dxa"/>
            <w:vAlign w:val="center"/>
          </w:tcPr>
          <w:p w14:paraId="5D02FD6E"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55</w:t>
            </w:r>
          </w:p>
        </w:tc>
        <w:tc>
          <w:tcPr>
            <w:tcW w:w="9785" w:type="dxa"/>
            <w:vAlign w:val="center"/>
          </w:tcPr>
          <w:p w14:paraId="56C14265" w14:textId="77777777" w:rsidR="00000000" w:rsidRDefault="00000000">
            <w:pPr>
              <w:autoSpaceDE w:val="0"/>
              <w:autoSpaceDN w:val="0"/>
              <w:adjustRightInd w:val="0"/>
              <w:spacing w:line="360" w:lineRule="exact"/>
              <w:jc w:val="left"/>
              <w:rPr>
                <w:rFonts w:ascii="Times New Roman" w:hAnsi="Times New Roman" w:hint="eastAsia"/>
                <w:color w:val="000000"/>
                <w:kern w:val="0"/>
                <w:sz w:val="24"/>
              </w:rPr>
            </w:pPr>
            <w:r>
              <w:rPr>
                <w:rFonts w:ascii="Times New Roman" w:hAnsi="Times New Roman"/>
                <w:color w:val="000000"/>
                <w:kern w:val="0"/>
                <w:sz w:val="24"/>
              </w:rPr>
              <w:t>落实</w:t>
            </w:r>
            <w:r>
              <w:rPr>
                <w:rFonts w:ascii="Times New Roman" w:hAnsi="Times New Roman"/>
                <w:color w:val="000000"/>
                <w:kern w:val="0"/>
                <w:sz w:val="24"/>
              </w:rPr>
              <w:t>2025</w:t>
            </w:r>
            <w:r>
              <w:rPr>
                <w:rFonts w:ascii="Times New Roman" w:hAnsi="Times New Roman"/>
                <w:color w:val="000000"/>
                <w:kern w:val="0"/>
                <w:sz w:val="24"/>
              </w:rPr>
              <w:t>年版全国外资准入负面清单及全面取消制造业领域外商投资准入限制要求。</w:t>
            </w:r>
            <w:r>
              <w:rPr>
                <w:rFonts w:ascii="Times New Roman" w:hAnsi="Times New Roman" w:hint="eastAsia"/>
                <w:color w:val="000000"/>
                <w:kern w:val="0"/>
                <w:sz w:val="24"/>
              </w:rPr>
              <w:t xml:space="preserve"> </w:t>
            </w:r>
            <w:r>
              <w:rPr>
                <w:rFonts w:ascii="Times New Roman" w:hAnsi="Times New Roman"/>
                <w:color w:val="000000"/>
                <w:kern w:val="0"/>
                <w:sz w:val="24"/>
              </w:rPr>
              <w:t>持续开展内外资差别待遇清理工作，保障外资企业在要素获取、政策享受、知识产权保护、标准制定等方面公平竞争待遇。</w:t>
            </w:r>
          </w:p>
        </w:tc>
        <w:tc>
          <w:tcPr>
            <w:tcW w:w="1917" w:type="dxa"/>
            <w:vAlign w:val="center"/>
          </w:tcPr>
          <w:p w14:paraId="4F1D09F0"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市商务和外事局</w:t>
            </w:r>
          </w:p>
        </w:tc>
        <w:tc>
          <w:tcPr>
            <w:tcW w:w="1377" w:type="dxa"/>
            <w:vAlign w:val="center"/>
          </w:tcPr>
          <w:p w14:paraId="28130F96"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78CA1D9" w14:textId="77777777">
        <w:trPr>
          <w:cantSplit/>
          <w:trHeight w:val="454"/>
          <w:jc w:val="center"/>
        </w:trPr>
        <w:tc>
          <w:tcPr>
            <w:tcW w:w="619" w:type="dxa"/>
            <w:vAlign w:val="center"/>
          </w:tcPr>
          <w:p w14:paraId="6AA570C5"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56</w:t>
            </w:r>
          </w:p>
        </w:tc>
        <w:tc>
          <w:tcPr>
            <w:tcW w:w="9785" w:type="dxa"/>
            <w:vAlign w:val="center"/>
          </w:tcPr>
          <w:p w14:paraId="67E4305F"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贯彻省市场监管局《关于简化登记材料开展外国投资者主体资格证明文件互认的试点办法》，简化外国企业主体资格认证文件。建立外资企业注册登记</w:t>
            </w:r>
            <w:r>
              <w:rPr>
                <w:rFonts w:ascii="宋体" w:hAnsi="宋体"/>
                <w:color w:val="000000"/>
                <w:kern w:val="0"/>
                <w:sz w:val="24"/>
              </w:rPr>
              <w:t>“</w:t>
            </w:r>
            <w:r>
              <w:rPr>
                <w:rFonts w:ascii="Times New Roman" w:hAnsi="Times New Roman"/>
                <w:color w:val="000000"/>
                <w:kern w:val="0"/>
                <w:sz w:val="24"/>
              </w:rPr>
              <w:t>容缺受理</w:t>
            </w:r>
            <w:r>
              <w:rPr>
                <w:rFonts w:ascii="宋体" w:hAnsi="宋体"/>
                <w:color w:val="000000"/>
                <w:kern w:val="0"/>
                <w:sz w:val="24"/>
              </w:rPr>
              <w:t>”</w:t>
            </w:r>
            <w:r>
              <w:rPr>
                <w:rFonts w:ascii="Times New Roman" w:hAnsi="Times New Roman"/>
                <w:color w:val="000000"/>
                <w:kern w:val="0"/>
                <w:sz w:val="24"/>
              </w:rPr>
              <w:t>制度，提升外资来蚌投资便利度。</w:t>
            </w:r>
          </w:p>
        </w:tc>
        <w:tc>
          <w:tcPr>
            <w:tcW w:w="1917" w:type="dxa"/>
            <w:vAlign w:val="center"/>
          </w:tcPr>
          <w:p w14:paraId="3820A18D"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56E26D6C"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F5D7ED9" w14:textId="77777777">
        <w:trPr>
          <w:cantSplit/>
          <w:trHeight w:val="454"/>
          <w:jc w:val="center"/>
        </w:trPr>
        <w:tc>
          <w:tcPr>
            <w:tcW w:w="10404" w:type="dxa"/>
            <w:gridSpan w:val="2"/>
            <w:vAlign w:val="center"/>
          </w:tcPr>
          <w:p w14:paraId="7929E4F6"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（二十九）优化外国人才综合服务。</w:t>
            </w:r>
          </w:p>
        </w:tc>
        <w:tc>
          <w:tcPr>
            <w:tcW w:w="1917" w:type="dxa"/>
            <w:vAlign w:val="center"/>
          </w:tcPr>
          <w:p w14:paraId="5741971E"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0A4F4D84"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68ABDAD5" w14:textId="77777777">
        <w:trPr>
          <w:cantSplit/>
          <w:trHeight w:val="454"/>
          <w:jc w:val="center"/>
        </w:trPr>
        <w:tc>
          <w:tcPr>
            <w:tcW w:w="619" w:type="dxa"/>
            <w:vAlign w:val="center"/>
          </w:tcPr>
          <w:p w14:paraId="60D7FFA8" w14:textId="77777777" w:rsidR="00000000" w:rsidRDefault="00000000">
            <w:pPr>
              <w:autoSpaceDE w:val="0"/>
              <w:autoSpaceDN w:val="0"/>
              <w:adjustRightInd w:val="0"/>
              <w:spacing w:line="32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57</w:t>
            </w:r>
          </w:p>
        </w:tc>
        <w:tc>
          <w:tcPr>
            <w:tcW w:w="9785" w:type="dxa"/>
            <w:vAlign w:val="center"/>
          </w:tcPr>
          <w:p w14:paraId="5977AC0B" w14:textId="77777777" w:rsidR="00000000" w:rsidRDefault="00000000">
            <w:pPr>
              <w:autoSpaceDE w:val="0"/>
              <w:autoSpaceDN w:val="0"/>
              <w:adjustRightInd w:val="0"/>
              <w:spacing w:line="320" w:lineRule="exact"/>
              <w:jc w:val="left"/>
              <w:rPr>
                <w:rFonts w:ascii="Times New Roman" w:hAnsi="Times New Roman" w:hint="eastAsia"/>
                <w:color w:val="000000"/>
                <w:kern w:val="0"/>
                <w:sz w:val="24"/>
              </w:rPr>
            </w:pPr>
            <w:r>
              <w:rPr>
                <w:rFonts w:ascii="Times New Roman" w:hAnsi="Times New Roman" w:hint="eastAsia"/>
                <w:color w:val="000000"/>
                <w:kern w:val="0"/>
                <w:sz w:val="24"/>
              </w:rPr>
              <w:t>做好</w:t>
            </w:r>
            <w:r>
              <w:rPr>
                <w:rFonts w:ascii="Times New Roman" w:hAnsi="Times New Roman"/>
                <w:color w:val="000000"/>
                <w:kern w:val="0"/>
                <w:sz w:val="24"/>
              </w:rPr>
              <w:t>2025</w:t>
            </w:r>
            <w:r>
              <w:rPr>
                <w:rFonts w:ascii="Times New Roman" w:hAnsi="Times New Roman"/>
                <w:color w:val="000000"/>
                <w:kern w:val="0"/>
                <w:sz w:val="24"/>
              </w:rPr>
              <w:t>年版《外国商务人士在安徽工作生活指引》</w:t>
            </w:r>
            <w:r>
              <w:rPr>
                <w:rFonts w:ascii="Times New Roman" w:hAnsi="Times New Roman" w:hint="eastAsia"/>
                <w:color w:val="000000"/>
                <w:kern w:val="0"/>
                <w:sz w:val="24"/>
              </w:rPr>
              <w:t>落实工作。</w:t>
            </w:r>
          </w:p>
        </w:tc>
        <w:tc>
          <w:tcPr>
            <w:tcW w:w="1917" w:type="dxa"/>
            <w:vAlign w:val="center"/>
          </w:tcPr>
          <w:p w14:paraId="5F0FFDEE"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市商务和外事局</w:t>
            </w:r>
          </w:p>
        </w:tc>
        <w:tc>
          <w:tcPr>
            <w:tcW w:w="1377" w:type="dxa"/>
            <w:vAlign w:val="center"/>
          </w:tcPr>
          <w:p w14:paraId="038D8ECC"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7BADC9CE" w14:textId="77777777">
        <w:trPr>
          <w:cantSplit/>
          <w:trHeight w:val="454"/>
          <w:jc w:val="center"/>
        </w:trPr>
        <w:tc>
          <w:tcPr>
            <w:tcW w:w="619" w:type="dxa"/>
            <w:vAlign w:val="center"/>
          </w:tcPr>
          <w:p w14:paraId="23F71C76"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hint="eastAsia"/>
                <w:color w:val="000000"/>
                <w:kern w:val="0"/>
                <w:sz w:val="24"/>
              </w:rPr>
              <w:t>58</w:t>
            </w:r>
          </w:p>
        </w:tc>
        <w:tc>
          <w:tcPr>
            <w:tcW w:w="9785" w:type="dxa"/>
            <w:vAlign w:val="center"/>
          </w:tcPr>
          <w:p w14:paraId="5A0B90BD" w14:textId="77777777" w:rsidR="00000000" w:rsidRDefault="00000000">
            <w:pPr>
              <w:autoSpaceDE w:val="0"/>
              <w:autoSpaceDN w:val="0"/>
              <w:adjustRightInd w:val="0"/>
              <w:spacing w:line="320" w:lineRule="exact"/>
              <w:jc w:val="left"/>
              <w:rPr>
                <w:rFonts w:ascii="Times New Roman" w:hAnsi="Times New Roman"/>
                <w:color w:val="000000"/>
                <w:kern w:val="0"/>
                <w:sz w:val="24"/>
              </w:rPr>
            </w:pPr>
            <w:r>
              <w:rPr>
                <w:rFonts w:ascii="Times New Roman" w:hAnsi="Times New Roman" w:hint="eastAsia"/>
                <w:color w:val="000000"/>
                <w:kern w:val="0"/>
                <w:sz w:val="24"/>
              </w:rPr>
              <w:t>开展</w:t>
            </w:r>
            <w:r>
              <w:rPr>
                <w:rFonts w:ascii="Times New Roman" w:hAnsi="Times New Roman"/>
                <w:color w:val="000000"/>
                <w:kern w:val="0"/>
                <w:sz w:val="24"/>
              </w:rPr>
              <w:t>外国人来华工作许可证卡融合集成等工作。贯彻落实外籍</w:t>
            </w:r>
            <w:r>
              <w:rPr>
                <w:rFonts w:ascii="宋体" w:hAnsi="宋体"/>
                <w:color w:val="000000"/>
                <w:kern w:val="0"/>
                <w:sz w:val="24"/>
              </w:rPr>
              <w:t>“</w:t>
            </w:r>
            <w:r>
              <w:rPr>
                <w:rFonts w:ascii="Times New Roman" w:hAnsi="Times New Roman"/>
                <w:color w:val="000000"/>
                <w:kern w:val="0"/>
                <w:sz w:val="24"/>
              </w:rPr>
              <w:t>高精尖缺</w:t>
            </w:r>
            <w:r>
              <w:rPr>
                <w:rFonts w:ascii="宋体" w:hAnsi="宋体"/>
                <w:color w:val="000000"/>
                <w:kern w:val="0"/>
                <w:sz w:val="24"/>
              </w:rPr>
              <w:t>”</w:t>
            </w:r>
            <w:r>
              <w:rPr>
                <w:rFonts w:ascii="Times New Roman" w:hAnsi="Times New Roman"/>
                <w:color w:val="000000"/>
                <w:kern w:val="0"/>
                <w:sz w:val="24"/>
              </w:rPr>
              <w:t>人才认定标准，促进更多外国人才来蚌创新创业。</w:t>
            </w:r>
          </w:p>
        </w:tc>
        <w:tc>
          <w:tcPr>
            <w:tcW w:w="1917" w:type="dxa"/>
            <w:vAlign w:val="center"/>
          </w:tcPr>
          <w:p w14:paraId="08BC9382"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市科技局</w:t>
            </w:r>
          </w:p>
        </w:tc>
        <w:tc>
          <w:tcPr>
            <w:tcW w:w="1377" w:type="dxa"/>
            <w:vAlign w:val="center"/>
          </w:tcPr>
          <w:p w14:paraId="45738478"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02EA9381" w14:textId="77777777">
        <w:trPr>
          <w:cantSplit/>
          <w:trHeight w:val="454"/>
          <w:jc w:val="center"/>
        </w:trPr>
        <w:tc>
          <w:tcPr>
            <w:tcW w:w="619" w:type="dxa"/>
            <w:vAlign w:val="center"/>
          </w:tcPr>
          <w:p w14:paraId="5523D859"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hint="eastAsia"/>
                <w:color w:val="000000"/>
                <w:kern w:val="0"/>
                <w:sz w:val="24"/>
              </w:rPr>
              <w:t>59</w:t>
            </w:r>
          </w:p>
        </w:tc>
        <w:tc>
          <w:tcPr>
            <w:tcW w:w="9785" w:type="dxa"/>
            <w:vAlign w:val="center"/>
          </w:tcPr>
          <w:p w14:paraId="5B2FB98E" w14:textId="77777777" w:rsidR="00000000" w:rsidRDefault="00000000">
            <w:pPr>
              <w:autoSpaceDE w:val="0"/>
              <w:autoSpaceDN w:val="0"/>
              <w:adjustRightInd w:val="0"/>
              <w:spacing w:line="320" w:lineRule="exact"/>
              <w:jc w:val="left"/>
              <w:rPr>
                <w:rFonts w:ascii="Times New Roman" w:hAnsi="Times New Roman"/>
                <w:color w:val="000000"/>
                <w:kern w:val="0"/>
                <w:sz w:val="24"/>
              </w:rPr>
            </w:pPr>
            <w:r>
              <w:rPr>
                <w:rFonts w:ascii="Times New Roman" w:hAnsi="Times New Roman"/>
                <w:color w:val="000000"/>
                <w:kern w:val="0"/>
                <w:sz w:val="24"/>
              </w:rPr>
              <w:t>拓宽加载工作许可信息的社会保障卡在医保领域的应用场景。完善外籍人士医疗保障一站式服务模式，支持医疗机构开展特需医疗服务，扩充优质医疗资源。</w:t>
            </w:r>
          </w:p>
        </w:tc>
        <w:tc>
          <w:tcPr>
            <w:tcW w:w="1917" w:type="dxa"/>
            <w:vAlign w:val="center"/>
          </w:tcPr>
          <w:p w14:paraId="50EE53A7"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市医保局</w:t>
            </w:r>
          </w:p>
        </w:tc>
        <w:tc>
          <w:tcPr>
            <w:tcW w:w="1377" w:type="dxa"/>
            <w:vAlign w:val="center"/>
          </w:tcPr>
          <w:p w14:paraId="620C0A0E"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5689B58" w14:textId="77777777">
        <w:trPr>
          <w:cantSplit/>
          <w:trHeight w:val="454"/>
          <w:jc w:val="center"/>
        </w:trPr>
        <w:tc>
          <w:tcPr>
            <w:tcW w:w="10404" w:type="dxa"/>
            <w:gridSpan w:val="2"/>
            <w:vAlign w:val="center"/>
          </w:tcPr>
          <w:p w14:paraId="7C297C39" w14:textId="77777777" w:rsidR="00000000" w:rsidRDefault="00000000">
            <w:pPr>
              <w:autoSpaceDE w:val="0"/>
              <w:autoSpaceDN w:val="0"/>
              <w:adjustRightInd w:val="0"/>
              <w:spacing w:line="32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（三十）优化外籍人员支付环境。</w:t>
            </w:r>
          </w:p>
        </w:tc>
        <w:tc>
          <w:tcPr>
            <w:tcW w:w="1917" w:type="dxa"/>
            <w:vAlign w:val="center"/>
          </w:tcPr>
          <w:p w14:paraId="5E8F9809" w14:textId="77777777" w:rsidR="00000000" w:rsidRDefault="00000000">
            <w:pPr>
              <w:autoSpaceDE w:val="0"/>
              <w:autoSpaceDN w:val="0"/>
              <w:adjustRightInd w:val="0"/>
              <w:spacing w:line="320" w:lineRule="exact"/>
              <w:jc w:val="left"/>
              <w:rPr>
                <w:rFonts w:ascii="Times New Roman" w:eastAsia="方正楷体简体" w:hAnsi="Times New Roman"/>
                <w:color w:val="000000"/>
                <w:kern w:val="0"/>
                <w:sz w:val="24"/>
              </w:rPr>
            </w:pPr>
          </w:p>
        </w:tc>
        <w:tc>
          <w:tcPr>
            <w:tcW w:w="1377" w:type="dxa"/>
            <w:vAlign w:val="center"/>
          </w:tcPr>
          <w:p w14:paraId="45C86F74" w14:textId="77777777" w:rsidR="00000000" w:rsidRDefault="00000000">
            <w:pPr>
              <w:autoSpaceDE w:val="0"/>
              <w:autoSpaceDN w:val="0"/>
              <w:adjustRightInd w:val="0"/>
              <w:spacing w:line="320" w:lineRule="exact"/>
              <w:jc w:val="left"/>
              <w:rPr>
                <w:rFonts w:ascii="Times New Roman" w:eastAsia="方正楷体简体" w:hAnsi="Times New Roman"/>
                <w:color w:val="000000"/>
                <w:kern w:val="0"/>
                <w:sz w:val="24"/>
              </w:rPr>
            </w:pPr>
          </w:p>
        </w:tc>
      </w:tr>
      <w:tr w:rsidR="00000000" w14:paraId="2BABC6F1" w14:textId="77777777">
        <w:trPr>
          <w:cantSplit/>
          <w:trHeight w:val="454"/>
          <w:jc w:val="center"/>
        </w:trPr>
        <w:tc>
          <w:tcPr>
            <w:tcW w:w="619" w:type="dxa"/>
            <w:vAlign w:val="center"/>
          </w:tcPr>
          <w:p w14:paraId="091C4F85" w14:textId="77777777" w:rsidR="00000000" w:rsidRDefault="00000000">
            <w:pPr>
              <w:autoSpaceDE w:val="0"/>
              <w:autoSpaceDN w:val="0"/>
              <w:adjustRightInd w:val="0"/>
              <w:spacing w:line="32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lastRenderedPageBreak/>
              <w:t>60</w:t>
            </w:r>
          </w:p>
        </w:tc>
        <w:tc>
          <w:tcPr>
            <w:tcW w:w="9785" w:type="dxa"/>
            <w:vAlign w:val="center"/>
          </w:tcPr>
          <w:p w14:paraId="1E235EE9" w14:textId="77777777" w:rsidR="00000000" w:rsidRDefault="00000000">
            <w:pPr>
              <w:autoSpaceDE w:val="0"/>
              <w:autoSpaceDN w:val="0"/>
              <w:adjustRightInd w:val="0"/>
              <w:spacing w:line="320" w:lineRule="exact"/>
              <w:jc w:val="left"/>
              <w:rPr>
                <w:rFonts w:ascii="Times New Roman" w:hAnsi="Times New Roman"/>
                <w:color w:val="000000"/>
                <w:kern w:val="0"/>
                <w:sz w:val="24"/>
              </w:rPr>
            </w:pPr>
            <w:r>
              <w:rPr>
                <w:rFonts w:ascii="Times New Roman" w:hAnsi="Times New Roman"/>
                <w:color w:val="000000"/>
                <w:kern w:val="0"/>
                <w:sz w:val="24"/>
              </w:rPr>
              <w:t>持续扩大外卡受理覆盖面、提升受理能力，动态完善外籍来蚌人员支付和外币兑换服务电子地图，优化外卡取现、外币兑换等服务。加大移动支付宣传，推动在线打车、共享单车租借、景点和文娱活动预约、线上点餐等更多外籍人员高频需求场景与移动支付服务融合。因地制宜推进机场（高铁）</w:t>
            </w:r>
            <w:r>
              <w:rPr>
                <w:rFonts w:ascii="宋体" w:hAnsi="宋体"/>
                <w:color w:val="000000"/>
                <w:kern w:val="0"/>
                <w:sz w:val="24"/>
              </w:rPr>
              <w:t>“</w:t>
            </w:r>
            <w:r>
              <w:rPr>
                <w:rFonts w:ascii="Times New Roman" w:hAnsi="Times New Roman"/>
                <w:color w:val="000000"/>
                <w:kern w:val="0"/>
                <w:sz w:val="24"/>
              </w:rPr>
              <w:t>一站式</w:t>
            </w:r>
            <w:r>
              <w:rPr>
                <w:rFonts w:ascii="宋体" w:hAnsi="宋体"/>
                <w:color w:val="000000"/>
                <w:kern w:val="0"/>
                <w:sz w:val="24"/>
              </w:rPr>
              <w:t>”</w:t>
            </w:r>
            <w:r>
              <w:rPr>
                <w:rFonts w:ascii="Times New Roman" w:hAnsi="Times New Roman"/>
                <w:color w:val="000000"/>
                <w:kern w:val="0"/>
                <w:sz w:val="24"/>
              </w:rPr>
              <w:t>综合服务中心建设，为外籍来蚌人员提供支付、通讯、交通、文旅等相关便捷服务。</w:t>
            </w:r>
          </w:p>
        </w:tc>
        <w:tc>
          <w:tcPr>
            <w:tcW w:w="1917" w:type="dxa"/>
            <w:vAlign w:val="center"/>
          </w:tcPr>
          <w:p w14:paraId="4DFCCFF5"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人民银行蚌埠市分行</w:t>
            </w:r>
          </w:p>
        </w:tc>
        <w:tc>
          <w:tcPr>
            <w:tcW w:w="1377" w:type="dxa"/>
            <w:vAlign w:val="center"/>
          </w:tcPr>
          <w:p w14:paraId="76C2D67F"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B17079F" w14:textId="77777777">
        <w:trPr>
          <w:cantSplit/>
          <w:trHeight w:val="454"/>
          <w:jc w:val="center"/>
        </w:trPr>
        <w:tc>
          <w:tcPr>
            <w:tcW w:w="10404" w:type="dxa"/>
            <w:gridSpan w:val="2"/>
            <w:vAlign w:val="center"/>
          </w:tcPr>
          <w:p w14:paraId="77FBC851" w14:textId="77777777" w:rsidR="00000000" w:rsidRDefault="00000000">
            <w:pPr>
              <w:autoSpaceDE w:val="0"/>
              <w:autoSpaceDN w:val="0"/>
              <w:adjustRightInd w:val="0"/>
              <w:spacing w:line="32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（三十一）优化知识产权综合服务。</w:t>
            </w:r>
          </w:p>
        </w:tc>
        <w:tc>
          <w:tcPr>
            <w:tcW w:w="1917" w:type="dxa"/>
            <w:vAlign w:val="center"/>
          </w:tcPr>
          <w:p w14:paraId="1140B12E" w14:textId="77777777" w:rsidR="00000000" w:rsidRDefault="00000000">
            <w:pPr>
              <w:autoSpaceDE w:val="0"/>
              <w:autoSpaceDN w:val="0"/>
              <w:adjustRightInd w:val="0"/>
              <w:spacing w:line="320" w:lineRule="exact"/>
              <w:jc w:val="left"/>
              <w:rPr>
                <w:rFonts w:ascii="Times New Roman" w:eastAsia="方正楷体简体" w:hAnsi="Times New Roman"/>
                <w:color w:val="000000"/>
                <w:kern w:val="0"/>
                <w:sz w:val="24"/>
              </w:rPr>
            </w:pPr>
          </w:p>
        </w:tc>
        <w:tc>
          <w:tcPr>
            <w:tcW w:w="1377" w:type="dxa"/>
            <w:vAlign w:val="center"/>
          </w:tcPr>
          <w:p w14:paraId="79D9FEF5" w14:textId="77777777" w:rsidR="00000000" w:rsidRDefault="00000000">
            <w:pPr>
              <w:autoSpaceDE w:val="0"/>
              <w:autoSpaceDN w:val="0"/>
              <w:adjustRightInd w:val="0"/>
              <w:spacing w:line="320" w:lineRule="exact"/>
              <w:jc w:val="left"/>
              <w:rPr>
                <w:rFonts w:ascii="Times New Roman" w:eastAsia="方正楷体简体" w:hAnsi="Times New Roman"/>
                <w:color w:val="000000"/>
                <w:kern w:val="0"/>
                <w:sz w:val="24"/>
              </w:rPr>
            </w:pPr>
          </w:p>
        </w:tc>
      </w:tr>
      <w:tr w:rsidR="00000000" w14:paraId="3BF22196" w14:textId="77777777">
        <w:trPr>
          <w:cantSplit/>
          <w:trHeight w:val="454"/>
          <w:jc w:val="center"/>
        </w:trPr>
        <w:tc>
          <w:tcPr>
            <w:tcW w:w="619" w:type="dxa"/>
            <w:vAlign w:val="center"/>
          </w:tcPr>
          <w:p w14:paraId="7D8C3A19" w14:textId="77777777" w:rsidR="00000000" w:rsidRDefault="00000000">
            <w:pPr>
              <w:autoSpaceDE w:val="0"/>
              <w:autoSpaceDN w:val="0"/>
              <w:adjustRightInd w:val="0"/>
              <w:spacing w:line="32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61</w:t>
            </w:r>
          </w:p>
        </w:tc>
        <w:tc>
          <w:tcPr>
            <w:tcW w:w="9785" w:type="dxa"/>
            <w:vAlign w:val="center"/>
          </w:tcPr>
          <w:p w14:paraId="079DBB09" w14:textId="77777777" w:rsidR="00000000" w:rsidRDefault="00000000">
            <w:pPr>
              <w:autoSpaceDE w:val="0"/>
              <w:autoSpaceDN w:val="0"/>
              <w:adjustRightInd w:val="0"/>
              <w:spacing w:line="320" w:lineRule="exact"/>
              <w:jc w:val="left"/>
              <w:rPr>
                <w:rFonts w:ascii="Times New Roman" w:hAnsi="Times New Roman"/>
                <w:color w:val="000000"/>
                <w:kern w:val="0"/>
                <w:sz w:val="24"/>
              </w:rPr>
            </w:pPr>
            <w:r>
              <w:rPr>
                <w:rFonts w:ascii="Times New Roman" w:hAnsi="Times New Roman"/>
                <w:color w:val="000000"/>
                <w:kern w:val="0"/>
                <w:sz w:val="24"/>
              </w:rPr>
              <w:t>加强数据知识产权宣传培训，推进数据知识产权登记工作。加强国家知识产权局蚌埠商标业务窗口、合肥专利代办处蚌埠工作站建设，延伸服务触点，提升服务质量。</w:t>
            </w:r>
          </w:p>
        </w:tc>
        <w:tc>
          <w:tcPr>
            <w:tcW w:w="1917" w:type="dxa"/>
            <w:vAlign w:val="center"/>
          </w:tcPr>
          <w:p w14:paraId="491CF5C0"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770CAA67"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73E11BE" w14:textId="77777777">
        <w:trPr>
          <w:cantSplit/>
          <w:trHeight w:val="454"/>
          <w:jc w:val="center"/>
        </w:trPr>
        <w:tc>
          <w:tcPr>
            <w:tcW w:w="10404" w:type="dxa"/>
            <w:gridSpan w:val="2"/>
            <w:vAlign w:val="center"/>
          </w:tcPr>
          <w:p w14:paraId="52FF4E2F" w14:textId="77777777" w:rsidR="00000000" w:rsidRDefault="00000000">
            <w:pPr>
              <w:autoSpaceDE w:val="0"/>
              <w:autoSpaceDN w:val="0"/>
              <w:adjustRightInd w:val="0"/>
              <w:spacing w:line="32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（三十二）加大知识产权综合保护。</w:t>
            </w:r>
          </w:p>
        </w:tc>
        <w:tc>
          <w:tcPr>
            <w:tcW w:w="1917" w:type="dxa"/>
            <w:vAlign w:val="center"/>
          </w:tcPr>
          <w:p w14:paraId="276740FC" w14:textId="77777777" w:rsidR="00000000" w:rsidRDefault="00000000">
            <w:pPr>
              <w:autoSpaceDE w:val="0"/>
              <w:autoSpaceDN w:val="0"/>
              <w:adjustRightInd w:val="0"/>
              <w:spacing w:line="320" w:lineRule="exact"/>
              <w:jc w:val="left"/>
              <w:rPr>
                <w:rFonts w:ascii="Times New Roman" w:eastAsia="方正楷体简体" w:hAnsi="Times New Roman"/>
                <w:color w:val="000000"/>
                <w:kern w:val="0"/>
                <w:sz w:val="24"/>
              </w:rPr>
            </w:pPr>
          </w:p>
        </w:tc>
        <w:tc>
          <w:tcPr>
            <w:tcW w:w="1377" w:type="dxa"/>
            <w:vAlign w:val="center"/>
          </w:tcPr>
          <w:p w14:paraId="3F34CA34" w14:textId="77777777" w:rsidR="00000000" w:rsidRDefault="00000000">
            <w:pPr>
              <w:autoSpaceDE w:val="0"/>
              <w:autoSpaceDN w:val="0"/>
              <w:adjustRightInd w:val="0"/>
              <w:spacing w:line="320" w:lineRule="exact"/>
              <w:jc w:val="left"/>
              <w:rPr>
                <w:rFonts w:ascii="Times New Roman" w:eastAsia="方正楷体简体" w:hAnsi="Times New Roman"/>
                <w:color w:val="000000"/>
                <w:kern w:val="0"/>
                <w:sz w:val="24"/>
              </w:rPr>
            </w:pPr>
          </w:p>
        </w:tc>
      </w:tr>
      <w:tr w:rsidR="00000000" w14:paraId="1F8BEF60" w14:textId="77777777">
        <w:trPr>
          <w:cantSplit/>
          <w:trHeight w:val="454"/>
          <w:jc w:val="center"/>
        </w:trPr>
        <w:tc>
          <w:tcPr>
            <w:tcW w:w="619" w:type="dxa"/>
            <w:vAlign w:val="center"/>
          </w:tcPr>
          <w:p w14:paraId="533B9298" w14:textId="77777777" w:rsidR="00000000" w:rsidRDefault="00000000">
            <w:pPr>
              <w:autoSpaceDE w:val="0"/>
              <w:autoSpaceDN w:val="0"/>
              <w:adjustRightInd w:val="0"/>
              <w:spacing w:line="32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62</w:t>
            </w:r>
          </w:p>
        </w:tc>
        <w:tc>
          <w:tcPr>
            <w:tcW w:w="9785" w:type="dxa"/>
            <w:vAlign w:val="center"/>
          </w:tcPr>
          <w:p w14:paraId="2F73B2A0" w14:textId="77777777" w:rsidR="00000000" w:rsidRDefault="00000000">
            <w:pPr>
              <w:autoSpaceDE w:val="0"/>
              <w:autoSpaceDN w:val="0"/>
              <w:adjustRightInd w:val="0"/>
              <w:spacing w:line="320" w:lineRule="exact"/>
              <w:jc w:val="left"/>
              <w:rPr>
                <w:rFonts w:ascii="Times New Roman" w:hAnsi="Times New Roman"/>
                <w:color w:val="000000"/>
                <w:kern w:val="0"/>
                <w:sz w:val="24"/>
              </w:rPr>
            </w:pPr>
            <w:r>
              <w:rPr>
                <w:rFonts w:ascii="Times New Roman" w:hAnsi="Times New Roman"/>
                <w:color w:val="000000"/>
                <w:kern w:val="0"/>
                <w:sz w:val="24"/>
              </w:rPr>
              <w:t>健全海外知识产权纠纷应对指导工作机制，强化风险预警和信息发布，开展海外知识产权纠纷应对工作培训，提升企业风险防范和应对能力。</w:t>
            </w:r>
          </w:p>
        </w:tc>
        <w:tc>
          <w:tcPr>
            <w:tcW w:w="1917" w:type="dxa"/>
            <w:vAlign w:val="center"/>
          </w:tcPr>
          <w:p w14:paraId="04988310"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69E8B59B"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3FBAA70" w14:textId="77777777">
        <w:trPr>
          <w:cantSplit/>
          <w:trHeight w:val="454"/>
          <w:jc w:val="center"/>
        </w:trPr>
        <w:tc>
          <w:tcPr>
            <w:tcW w:w="619" w:type="dxa"/>
            <w:vAlign w:val="center"/>
          </w:tcPr>
          <w:p w14:paraId="566AF736"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hint="eastAsia"/>
                <w:color w:val="000000"/>
                <w:kern w:val="0"/>
                <w:sz w:val="24"/>
              </w:rPr>
              <w:t>63</w:t>
            </w:r>
          </w:p>
        </w:tc>
        <w:tc>
          <w:tcPr>
            <w:tcW w:w="9785" w:type="dxa"/>
            <w:vAlign w:val="center"/>
          </w:tcPr>
          <w:p w14:paraId="609ABB71" w14:textId="77777777" w:rsidR="00000000" w:rsidRDefault="00000000">
            <w:pPr>
              <w:autoSpaceDE w:val="0"/>
              <w:autoSpaceDN w:val="0"/>
              <w:adjustRightInd w:val="0"/>
              <w:spacing w:line="320" w:lineRule="exact"/>
              <w:jc w:val="left"/>
              <w:rPr>
                <w:rFonts w:ascii="Times New Roman" w:hAnsi="Times New Roman"/>
                <w:color w:val="000000"/>
                <w:kern w:val="0"/>
                <w:sz w:val="24"/>
              </w:rPr>
            </w:pPr>
            <w:r>
              <w:rPr>
                <w:rFonts w:ascii="Times New Roman" w:hAnsi="Times New Roman"/>
                <w:color w:val="000000"/>
                <w:kern w:val="0"/>
                <w:sz w:val="24"/>
              </w:rPr>
              <w:t>开展知识产权保护</w:t>
            </w:r>
            <w:r>
              <w:rPr>
                <w:rFonts w:ascii="宋体" w:hAnsi="宋体"/>
                <w:color w:val="000000"/>
                <w:kern w:val="0"/>
                <w:sz w:val="24"/>
              </w:rPr>
              <w:t>“</w:t>
            </w:r>
            <w:r>
              <w:rPr>
                <w:rFonts w:ascii="Times New Roman" w:hAnsi="Times New Roman"/>
                <w:color w:val="000000"/>
                <w:kern w:val="0"/>
                <w:sz w:val="24"/>
              </w:rPr>
              <w:t>进百企、送百策、解百题</w:t>
            </w:r>
            <w:r>
              <w:rPr>
                <w:rFonts w:ascii="宋体" w:hAnsi="宋体"/>
                <w:color w:val="000000"/>
                <w:kern w:val="0"/>
                <w:sz w:val="24"/>
              </w:rPr>
              <w:t>”</w:t>
            </w:r>
            <w:r>
              <w:rPr>
                <w:rFonts w:ascii="Times New Roman" w:hAnsi="Times New Roman"/>
                <w:color w:val="000000"/>
                <w:kern w:val="0"/>
                <w:sz w:val="24"/>
              </w:rPr>
              <w:t>行动，广泛收集企业知识产权保护诉求，为企业解决实际问题。依法严厉打击各类侵权假冒违法行为，着力加强消费市场、专业市场（电子商务平台）、展会等重点领域知识产权保护。</w:t>
            </w:r>
          </w:p>
        </w:tc>
        <w:tc>
          <w:tcPr>
            <w:tcW w:w="1917" w:type="dxa"/>
            <w:vAlign w:val="center"/>
          </w:tcPr>
          <w:p w14:paraId="2B15BC50"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7BE60FDE" w14:textId="77777777" w:rsidR="00000000" w:rsidRDefault="00000000">
            <w:pPr>
              <w:autoSpaceDE w:val="0"/>
              <w:autoSpaceDN w:val="0"/>
              <w:adjustRightInd w:val="0"/>
              <w:spacing w:line="32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D9786A0" w14:textId="77777777">
        <w:trPr>
          <w:cantSplit/>
          <w:trHeight w:val="454"/>
          <w:jc w:val="center"/>
        </w:trPr>
        <w:tc>
          <w:tcPr>
            <w:tcW w:w="10404" w:type="dxa"/>
            <w:gridSpan w:val="2"/>
            <w:vAlign w:val="center"/>
          </w:tcPr>
          <w:p w14:paraId="28C66F05"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（三十三）推动高等级平台开放创新。</w:t>
            </w:r>
          </w:p>
        </w:tc>
        <w:tc>
          <w:tcPr>
            <w:tcW w:w="1917" w:type="dxa"/>
            <w:vAlign w:val="center"/>
          </w:tcPr>
          <w:p w14:paraId="5F9DCE9C"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440C0E90"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165E9C91" w14:textId="77777777">
        <w:trPr>
          <w:cantSplit/>
          <w:trHeight w:val="454"/>
          <w:jc w:val="center"/>
        </w:trPr>
        <w:tc>
          <w:tcPr>
            <w:tcW w:w="619" w:type="dxa"/>
            <w:vAlign w:val="center"/>
          </w:tcPr>
          <w:p w14:paraId="59147992"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64</w:t>
            </w:r>
          </w:p>
        </w:tc>
        <w:tc>
          <w:tcPr>
            <w:tcW w:w="9785" w:type="dxa"/>
            <w:vAlign w:val="center"/>
          </w:tcPr>
          <w:p w14:paraId="0188C0E4"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依托中国传感谷等高能级平台，整合省内外创新要素，链接外部资源，积极争创顶尖孵化器、概念验证中心等服务平台，推动科技服务业高质量发展，拓展新兴科技服务应用场景。</w:t>
            </w:r>
          </w:p>
        </w:tc>
        <w:tc>
          <w:tcPr>
            <w:tcW w:w="1917" w:type="dxa"/>
            <w:vAlign w:val="center"/>
          </w:tcPr>
          <w:p w14:paraId="765C9F0D"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市科技局</w:t>
            </w:r>
          </w:p>
        </w:tc>
        <w:tc>
          <w:tcPr>
            <w:tcW w:w="1377" w:type="dxa"/>
            <w:vAlign w:val="center"/>
          </w:tcPr>
          <w:p w14:paraId="5A4EA6B7"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D94EE3C" w14:textId="77777777">
        <w:trPr>
          <w:cantSplit/>
          <w:trHeight w:val="454"/>
          <w:jc w:val="center"/>
        </w:trPr>
        <w:tc>
          <w:tcPr>
            <w:tcW w:w="10404" w:type="dxa"/>
            <w:gridSpan w:val="2"/>
            <w:vAlign w:val="center"/>
          </w:tcPr>
          <w:p w14:paraId="46A9113C"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方正黑体简体" w:eastAsia="方正黑体简体" w:hAnsi="方正黑体简体" w:cs="方正黑体简体" w:hint="eastAsia"/>
                <w:color w:val="000000"/>
                <w:kern w:val="0"/>
                <w:sz w:val="24"/>
              </w:rPr>
              <w:t>四、加强改革创新提升政务服务效能</w:t>
            </w:r>
          </w:p>
        </w:tc>
        <w:tc>
          <w:tcPr>
            <w:tcW w:w="1917" w:type="dxa"/>
            <w:vAlign w:val="center"/>
          </w:tcPr>
          <w:p w14:paraId="5F070B3A"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2C46A782"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4317F9E8" w14:textId="77777777">
        <w:trPr>
          <w:cantSplit/>
          <w:trHeight w:val="454"/>
          <w:jc w:val="center"/>
        </w:trPr>
        <w:tc>
          <w:tcPr>
            <w:tcW w:w="10404" w:type="dxa"/>
            <w:gridSpan w:val="2"/>
            <w:vAlign w:val="center"/>
          </w:tcPr>
          <w:p w14:paraId="45843CA1"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（三十四）深入推进政务服务标准化、智能化、增值化。</w:t>
            </w:r>
          </w:p>
        </w:tc>
        <w:tc>
          <w:tcPr>
            <w:tcW w:w="1917" w:type="dxa"/>
            <w:vAlign w:val="center"/>
          </w:tcPr>
          <w:p w14:paraId="7D16B53E"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6B33F3AC"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7F79B902" w14:textId="77777777">
        <w:trPr>
          <w:cantSplit/>
          <w:trHeight w:val="454"/>
          <w:jc w:val="center"/>
        </w:trPr>
        <w:tc>
          <w:tcPr>
            <w:tcW w:w="619" w:type="dxa"/>
            <w:vAlign w:val="center"/>
          </w:tcPr>
          <w:p w14:paraId="09DB0CD4"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lastRenderedPageBreak/>
              <w:t>65</w:t>
            </w:r>
          </w:p>
        </w:tc>
        <w:tc>
          <w:tcPr>
            <w:tcW w:w="9785" w:type="dxa"/>
            <w:vAlign w:val="center"/>
          </w:tcPr>
          <w:p w14:paraId="3387E8CC"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落实政务服务事项</w:t>
            </w:r>
            <w:r>
              <w:rPr>
                <w:rFonts w:ascii="宋体" w:hAnsi="宋体"/>
                <w:color w:val="000000"/>
                <w:kern w:val="0"/>
                <w:sz w:val="24"/>
              </w:rPr>
              <w:t>“</w:t>
            </w:r>
            <w:r>
              <w:rPr>
                <w:rFonts w:ascii="Times New Roman" w:hAnsi="Times New Roman"/>
                <w:color w:val="000000"/>
                <w:kern w:val="0"/>
                <w:sz w:val="24"/>
              </w:rPr>
              <w:t>全省一单</w:t>
            </w:r>
            <w:r>
              <w:rPr>
                <w:rFonts w:ascii="宋体" w:hAnsi="宋体"/>
                <w:color w:val="000000"/>
                <w:kern w:val="0"/>
                <w:sz w:val="24"/>
              </w:rPr>
              <w:t>”</w:t>
            </w:r>
            <w:r>
              <w:rPr>
                <w:rFonts w:ascii="Times New Roman" w:hAnsi="Times New Roman"/>
                <w:color w:val="000000"/>
                <w:kern w:val="0"/>
                <w:sz w:val="24"/>
              </w:rPr>
              <w:t>，加力推动数据信息</w:t>
            </w:r>
            <w:r>
              <w:rPr>
                <w:rFonts w:ascii="宋体" w:hAnsi="宋体"/>
                <w:color w:val="000000"/>
                <w:kern w:val="0"/>
                <w:sz w:val="24"/>
              </w:rPr>
              <w:t>“</w:t>
            </w:r>
            <w:r>
              <w:rPr>
                <w:rFonts w:ascii="Times New Roman" w:hAnsi="Times New Roman"/>
                <w:color w:val="000000"/>
                <w:kern w:val="0"/>
                <w:sz w:val="24"/>
              </w:rPr>
              <w:t>一次采集、多次复用</w:t>
            </w:r>
            <w:r>
              <w:rPr>
                <w:rFonts w:ascii="宋体" w:hAnsi="宋体"/>
                <w:color w:val="000000"/>
                <w:kern w:val="0"/>
                <w:sz w:val="24"/>
              </w:rPr>
              <w:t>”</w:t>
            </w:r>
            <w:r>
              <w:rPr>
                <w:rFonts w:ascii="Times New Roman" w:hAnsi="Times New Roman"/>
                <w:color w:val="000000"/>
                <w:kern w:val="0"/>
                <w:sz w:val="24"/>
              </w:rPr>
              <w:t>，提高申报预填比例。加大人工智能等技术应用，推进智能申报、审批、导办、咨询等服务，持续拓宽应用场景、提升服务水平。</w:t>
            </w:r>
          </w:p>
        </w:tc>
        <w:tc>
          <w:tcPr>
            <w:tcW w:w="1917" w:type="dxa"/>
            <w:vAlign w:val="center"/>
          </w:tcPr>
          <w:p w14:paraId="7FFAB465"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市数据资源局</w:t>
            </w:r>
          </w:p>
        </w:tc>
        <w:tc>
          <w:tcPr>
            <w:tcW w:w="1377" w:type="dxa"/>
            <w:vAlign w:val="center"/>
          </w:tcPr>
          <w:p w14:paraId="4FE7822C"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2C6052C" w14:textId="77777777">
        <w:trPr>
          <w:cantSplit/>
          <w:trHeight w:val="454"/>
          <w:jc w:val="center"/>
        </w:trPr>
        <w:tc>
          <w:tcPr>
            <w:tcW w:w="619" w:type="dxa"/>
            <w:vAlign w:val="center"/>
          </w:tcPr>
          <w:p w14:paraId="7BBB788F"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66</w:t>
            </w:r>
          </w:p>
        </w:tc>
        <w:tc>
          <w:tcPr>
            <w:tcW w:w="9785" w:type="dxa"/>
            <w:vAlign w:val="center"/>
          </w:tcPr>
          <w:p w14:paraId="620D0972"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统筹涉企服务资源，梳理增值化服务事项清单，依托线上线下政务服务渠道，集成提供更广范围、更深层次的政策、项目、人才、金融、空间、法律、科技等全周期衍生服务，打造更多定制化、模块化涉企服务</w:t>
            </w:r>
            <w:r>
              <w:rPr>
                <w:rFonts w:ascii="宋体" w:hAnsi="宋体"/>
                <w:color w:val="000000"/>
                <w:kern w:val="0"/>
                <w:sz w:val="24"/>
              </w:rPr>
              <w:t>“</w:t>
            </w:r>
            <w:r>
              <w:rPr>
                <w:rFonts w:ascii="Times New Roman" w:hAnsi="Times New Roman"/>
                <w:color w:val="000000"/>
                <w:kern w:val="0"/>
                <w:sz w:val="24"/>
              </w:rPr>
              <w:t>一类事</w:t>
            </w:r>
            <w:r>
              <w:rPr>
                <w:rFonts w:ascii="宋体" w:hAnsi="宋体"/>
                <w:color w:val="000000"/>
                <w:kern w:val="0"/>
                <w:sz w:val="24"/>
              </w:rPr>
              <w:t>”</w:t>
            </w:r>
            <w:r>
              <w:rPr>
                <w:rFonts w:ascii="Times New Roman" w:hAnsi="Times New Roman"/>
                <w:color w:val="000000"/>
                <w:kern w:val="0"/>
                <w:sz w:val="24"/>
              </w:rPr>
              <w:t>场景。</w:t>
            </w:r>
          </w:p>
        </w:tc>
        <w:tc>
          <w:tcPr>
            <w:tcW w:w="1917" w:type="dxa"/>
            <w:vAlign w:val="center"/>
          </w:tcPr>
          <w:p w14:paraId="2930523A"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市数据资源局</w:t>
            </w:r>
          </w:p>
        </w:tc>
        <w:tc>
          <w:tcPr>
            <w:tcW w:w="1377" w:type="dxa"/>
            <w:vAlign w:val="center"/>
          </w:tcPr>
          <w:p w14:paraId="3DCF3F8E"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D02B6FA" w14:textId="77777777">
        <w:trPr>
          <w:cantSplit/>
          <w:trHeight w:val="454"/>
          <w:jc w:val="center"/>
        </w:trPr>
        <w:tc>
          <w:tcPr>
            <w:tcW w:w="619" w:type="dxa"/>
            <w:vAlign w:val="center"/>
          </w:tcPr>
          <w:p w14:paraId="11C159FB"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67</w:t>
            </w:r>
          </w:p>
        </w:tc>
        <w:tc>
          <w:tcPr>
            <w:tcW w:w="9785" w:type="dxa"/>
            <w:vAlign w:val="center"/>
          </w:tcPr>
          <w:p w14:paraId="41A5A25D"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深化政务服务综合窗口改革，全面实行统一收件、系统流转、限时办理、统一反馈。加快实现全市公安政务服务户政、出入境、车驾管</w:t>
            </w:r>
            <w:r>
              <w:rPr>
                <w:rFonts w:ascii="宋体" w:hAnsi="宋体"/>
                <w:color w:val="000000"/>
                <w:kern w:val="0"/>
                <w:sz w:val="24"/>
              </w:rPr>
              <w:t>“</w:t>
            </w:r>
            <w:r>
              <w:rPr>
                <w:rFonts w:ascii="Times New Roman" w:hAnsi="Times New Roman"/>
                <w:color w:val="000000"/>
                <w:kern w:val="0"/>
                <w:sz w:val="24"/>
              </w:rPr>
              <w:t>一窗通办</w:t>
            </w:r>
            <w:r>
              <w:rPr>
                <w:rFonts w:ascii="宋体" w:hAnsi="宋体"/>
                <w:color w:val="000000"/>
                <w:kern w:val="0"/>
                <w:sz w:val="24"/>
              </w:rPr>
              <w:t>”</w:t>
            </w:r>
            <w:r>
              <w:rPr>
                <w:rFonts w:ascii="Times New Roman" w:hAnsi="Times New Roman" w:hint="eastAsia"/>
                <w:color w:val="000000"/>
                <w:kern w:val="0"/>
                <w:sz w:val="24"/>
              </w:rPr>
              <w:t>，</w:t>
            </w:r>
            <w:r>
              <w:rPr>
                <w:rFonts w:ascii="Times New Roman" w:hAnsi="Times New Roman"/>
                <w:color w:val="000000"/>
                <w:kern w:val="0"/>
                <w:sz w:val="24"/>
              </w:rPr>
              <w:t>快速办结。</w:t>
            </w:r>
          </w:p>
        </w:tc>
        <w:tc>
          <w:tcPr>
            <w:tcW w:w="1917" w:type="dxa"/>
            <w:vAlign w:val="center"/>
          </w:tcPr>
          <w:p w14:paraId="0A529BC3"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市数据资源局</w:t>
            </w:r>
          </w:p>
        </w:tc>
        <w:tc>
          <w:tcPr>
            <w:tcW w:w="1377" w:type="dxa"/>
            <w:vAlign w:val="center"/>
          </w:tcPr>
          <w:p w14:paraId="1E2E306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6</w:t>
            </w:r>
            <w:r>
              <w:rPr>
                <w:rFonts w:ascii="Times New Roman" w:hAnsi="Times New Roman"/>
                <w:color w:val="000000"/>
                <w:kern w:val="0"/>
                <w:sz w:val="24"/>
              </w:rPr>
              <w:t>月</w:t>
            </w:r>
          </w:p>
        </w:tc>
      </w:tr>
      <w:tr w:rsidR="00000000" w14:paraId="47BA9C8B" w14:textId="77777777">
        <w:trPr>
          <w:cantSplit/>
          <w:trHeight w:val="454"/>
          <w:jc w:val="center"/>
        </w:trPr>
        <w:tc>
          <w:tcPr>
            <w:tcW w:w="10404" w:type="dxa"/>
            <w:gridSpan w:val="2"/>
            <w:vAlign w:val="center"/>
          </w:tcPr>
          <w:p w14:paraId="1C328870"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（三十五）优化跨区域政务服务。</w:t>
            </w:r>
          </w:p>
        </w:tc>
        <w:tc>
          <w:tcPr>
            <w:tcW w:w="1917" w:type="dxa"/>
            <w:vAlign w:val="center"/>
          </w:tcPr>
          <w:p w14:paraId="59A8EEA7"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40D85ED3"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2ECC2BD4" w14:textId="77777777">
        <w:trPr>
          <w:cantSplit/>
          <w:trHeight w:val="454"/>
          <w:jc w:val="center"/>
        </w:trPr>
        <w:tc>
          <w:tcPr>
            <w:tcW w:w="619" w:type="dxa"/>
            <w:vAlign w:val="center"/>
          </w:tcPr>
          <w:p w14:paraId="5D145CCE"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68</w:t>
            </w:r>
          </w:p>
        </w:tc>
        <w:tc>
          <w:tcPr>
            <w:tcW w:w="9785" w:type="dxa"/>
            <w:vAlign w:val="center"/>
          </w:tcPr>
          <w:p w14:paraId="713942A5"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持续推进长三角区域政务服务一体化，实现更多涉企高频服务事项长三角区域</w:t>
            </w:r>
            <w:r>
              <w:rPr>
                <w:rFonts w:ascii="宋体" w:hAnsi="宋体"/>
                <w:color w:val="000000"/>
                <w:kern w:val="0"/>
                <w:sz w:val="24"/>
              </w:rPr>
              <w:t>“</w:t>
            </w:r>
            <w:r>
              <w:rPr>
                <w:rFonts w:ascii="Times New Roman" w:hAnsi="Times New Roman"/>
                <w:color w:val="000000"/>
                <w:kern w:val="0"/>
                <w:sz w:val="24"/>
              </w:rPr>
              <w:t>一网通办</w:t>
            </w:r>
            <w:r>
              <w:rPr>
                <w:rFonts w:ascii="宋体" w:hAnsi="宋体"/>
                <w:color w:val="000000"/>
                <w:kern w:val="0"/>
                <w:sz w:val="24"/>
              </w:rPr>
              <w:t>”</w:t>
            </w:r>
            <w:r>
              <w:rPr>
                <w:rFonts w:ascii="Times New Roman" w:hAnsi="Times New Roman"/>
                <w:color w:val="000000"/>
                <w:kern w:val="0"/>
                <w:sz w:val="24"/>
              </w:rPr>
              <w:t>。结合实际推进远程虚拟窗口建设，丰富远程帮办服务场景，运用远程身份核验、音视频交互、屏幕共享等技术为企业群众提供便利服务。</w:t>
            </w:r>
          </w:p>
        </w:tc>
        <w:tc>
          <w:tcPr>
            <w:tcW w:w="1917" w:type="dxa"/>
            <w:vAlign w:val="center"/>
          </w:tcPr>
          <w:p w14:paraId="3CBE9ECA"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市数据资源局</w:t>
            </w:r>
          </w:p>
        </w:tc>
        <w:tc>
          <w:tcPr>
            <w:tcW w:w="1377" w:type="dxa"/>
            <w:vAlign w:val="center"/>
          </w:tcPr>
          <w:p w14:paraId="77DE861E"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1A40B68" w14:textId="77777777">
        <w:trPr>
          <w:cantSplit/>
          <w:trHeight w:val="454"/>
          <w:jc w:val="center"/>
        </w:trPr>
        <w:tc>
          <w:tcPr>
            <w:tcW w:w="619" w:type="dxa"/>
            <w:vAlign w:val="center"/>
          </w:tcPr>
          <w:p w14:paraId="69BA3277"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69</w:t>
            </w:r>
          </w:p>
        </w:tc>
        <w:tc>
          <w:tcPr>
            <w:tcW w:w="9785" w:type="dxa"/>
            <w:vAlign w:val="center"/>
          </w:tcPr>
          <w:p w14:paraId="272EDFE4"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hint="eastAsia"/>
                <w:color w:val="000000"/>
                <w:kern w:val="0"/>
                <w:sz w:val="24"/>
              </w:rPr>
              <w:t>推动在</w:t>
            </w:r>
            <w:r>
              <w:rPr>
                <w:rFonts w:ascii="Times New Roman" w:hAnsi="Times New Roman"/>
                <w:color w:val="000000"/>
                <w:kern w:val="0"/>
                <w:sz w:val="24"/>
              </w:rPr>
              <w:t>银行网点设置政务服务代办点，丰富帮办代办服务场景，为企业群众提供便利的就近办理服务。</w:t>
            </w:r>
          </w:p>
        </w:tc>
        <w:tc>
          <w:tcPr>
            <w:tcW w:w="1917" w:type="dxa"/>
            <w:vAlign w:val="center"/>
          </w:tcPr>
          <w:p w14:paraId="4C4FED7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市数据资源局</w:t>
            </w:r>
          </w:p>
        </w:tc>
        <w:tc>
          <w:tcPr>
            <w:tcW w:w="1377" w:type="dxa"/>
            <w:vAlign w:val="center"/>
          </w:tcPr>
          <w:p w14:paraId="3154EA0F"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F5701E3" w14:textId="77777777">
        <w:trPr>
          <w:cantSplit/>
          <w:trHeight w:val="454"/>
          <w:jc w:val="center"/>
        </w:trPr>
        <w:tc>
          <w:tcPr>
            <w:tcW w:w="10404" w:type="dxa"/>
            <w:gridSpan w:val="2"/>
            <w:vAlign w:val="center"/>
          </w:tcPr>
          <w:p w14:paraId="2D5652F9"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（三十六）深化服务事项减证办、免证办。</w:t>
            </w:r>
          </w:p>
        </w:tc>
        <w:tc>
          <w:tcPr>
            <w:tcW w:w="1917" w:type="dxa"/>
            <w:vAlign w:val="center"/>
          </w:tcPr>
          <w:p w14:paraId="63B9EB27"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6E7F290E"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7DBD3161" w14:textId="77777777">
        <w:trPr>
          <w:cantSplit/>
          <w:trHeight w:val="454"/>
          <w:jc w:val="center"/>
        </w:trPr>
        <w:tc>
          <w:tcPr>
            <w:tcW w:w="619" w:type="dxa"/>
            <w:vAlign w:val="center"/>
          </w:tcPr>
          <w:p w14:paraId="67F0286B"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70</w:t>
            </w:r>
          </w:p>
        </w:tc>
        <w:tc>
          <w:tcPr>
            <w:tcW w:w="9785" w:type="dxa"/>
            <w:vAlign w:val="center"/>
          </w:tcPr>
          <w:p w14:paraId="034B919A"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全面推进</w:t>
            </w:r>
            <w:r>
              <w:rPr>
                <w:rFonts w:ascii="宋体" w:hAnsi="宋体"/>
                <w:color w:val="000000"/>
                <w:kern w:val="0"/>
                <w:sz w:val="24"/>
              </w:rPr>
              <w:t>“</w:t>
            </w:r>
            <w:r>
              <w:rPr>
                <w:rFonts w:ascii="Times New Roman" w:hAnsi="Times New Roman"/>
                <w:color w:val="000000"/>
                <w:kern w:val="0"/>
                <w:sz w:val="24"/>
              </w:rPr>
              <w:t>无证明城市</w:t>
            </w:r>
            <w:r>
              <w:rPr>
                <w:rFonts w:ascii="宋体" w:hAnsi="宋体"/>
                <w:color w:val="000000"/>
                <w:kern w:val="0"/>
                <w:sz w:val="24"/>
              </w:rPr>
              <w:t>”</w:t>
            </w:r>
            <w:r>
              <w:rPr>
                <w:rFonts w:ascii="Times New Roman" w:hAnsi="Times New Roman"/>
                <w:color w:val="000000"/>
                <w:kern w:val="0"/>
                <w:sz w:val="24"/>
              </w:rPr>
              <w:t>建设，梳理编制证明事项清单，在更大范围实行证明事项和涉企经营许可事项告知承诺制，健全告知承诺信用信息无感核查和归集应用机制。探索开展告知承诺制</w:t>
            </w:r>
            <w:r>
              <w:rPr>
                <w:rFonts w:ascii="宋体" w:hAnsi="宋体"/>
                <w:color w:val="000000"/>
                <w:kern w:val="0"/>
                <w:sz w:val="24"/>
              </w:rPr>
              <w:t>“</w:t>
            </w:r>
            <w:r>
              <w:rPr>
                <w:rFonts w:ascii="Times New Roman" w:hAnsi="Times New Roman"/>
                <w:color w:val="000000"/>
                <w:kern w:val="0"/>
                <w:sz w:val="24"/>
              </w:rPr>
              <w:t>叠加式</w:t>
            </w:r>
            <w:r>
              <w:rPr>
                <w:rFonts w:ascii="宋体" w:hAnsi="宋体"/>
                <w:color w:val="000000"/>
                <w:kern w:val="0"/>
                <w:sz w:val="24"/>
              </w:rPr>
              <w:t>”</w:t>
            </w:r>
            <w:r>
              <w:rPr>
                <w:rFonts w:ascii="Times New Roman" w:hAnsi="Times New Roman"/>
                <w:color w:val="000000"/>
                <w:kern w:val="0"/>
                <w:sz w:val="24"/>
              </w:rPr>
              <w:t>改革，对特定行业、特定区域准营项目实行</w:t>
            </w:r>
            <w:r>
              <w:rPr>
                <w:rFonts w:ascii="宋体" w:hAnsi="宋体"/>
                <w:color w:val="000000"/>
                <w:kern w:val="0"/>
                <w:sz w:val="24"/>
              </w:rPr>
              <w:t>“</w:t>
            </w:r>
            <w:r>
              <w:rPr>
                <w:rFonts w:ascii="Times New Roman" w:hAnsi="Times New Roman"/>
                <w:color w:val="000000"/>
                <w:kern w:val="0"/>
                <w:sz w:val="24"/>
              </w:rPr>
              <w:t>一次承诺、一次审批</w:t>
            </w:r>
            <w:r>
              <w:rPr>
                <w:rFonts w:ascii="宋体" w:hAnsi="宋体"/>
                <w:color w:val="000000"/>
                <w:kern w:val="0"/>
                <w:sz w:val="24"/>
              </w:rPr>
              <w:t>”</w:t>
            </w:r>
            <w:r>
              <w:rPr>
                <w:rFonts w:ascii="Times New Roman" w:hAnsi="Times New Roman"/>
                <w:color w:val="000000"/>
                <w:kern w:val="0"/>
                <w:sz w:val="24"/>
              </w:rPr>
              <w:t>。</w:t>
            </w:r>
          </w:p>
        </w:tc>
        <w:tc>
          <w:tcPr>
            <w:tcW w:w="1917" w:type="dxa"/>
            <w:vAlign w:val="center"/>
          </w:tcPr>
          <w:p w14:paraId="051D76AC"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市司法局</w:t>
            </w:r>
          </w:p>
        </w:tc>
        <w:tc>
          <w:tcPr>
            <w:tcW w:w="1377" w:type="dxa"/>
            <w:vAlign w:val="center"/>
          </w:tcPr>
          <w:p w14:paraId="565E6107"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483DC51" w14:textId="77777777">
        <w:trPr>
          <w:cantSplit/>
          <w:trHeight w:val="454"/>
          <w:jc w:val="center"/>
        </w:trPr>
        <w:tc>
          <w:tcPr>
            <w:tcW w:w="619" w:type="dxa"/>
            <w:vAlign w:val="center"/>
          </w:tcPr>
          <w:p w14:paraId="5E1C6413"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hint="eastAsia"/>
                <w:color w:val="000000"/>
                <w:kern w:val="0"/>
                <w:sz w:val="24"/>
              </w:rPr>
              <w:lastRenderedPageBreak/>
              <w:t>71</w:t>
            </w:r>
          </w:p>
        </w:tc>
        <w:tc>
          <w:tcPr>
            <w:tcW w:w="9785" w:type="dxa"/>
            <w:vAlign w:val="center"/>
          </w:tcPr>
          <w:p w14:paraId="02382744"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拓展电子证照应用场景，推动跨地区、跨部门互通互认，加快实现政府部门核发的材料免于提交、能够通过数据共享核验的事项免于提交证明材料、能够提供电子证照的免于提交实体证照。</w:t>
            </w:r>
          </w:p>
        </w:tc>
        <w:tc>
          <w:tcPr>
            <w:tcW w:w="1917" w:type="dxa"/>
            <w:vAlign w:val="center"/>
          </w:tcPr>
          <w:p w14:paraId="3F470091"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市数据资源局</w:t>
            </w:r>
          </w:p>
        </w:tc>
        <w:tc>
          <w:tcPr>
            <w:tcW w:w="1377" w:type="dxa"/>
            <w:vAlign w:val="center"/>
          </w:tcPr>
          <w:p w14:paraId="21EDA29B"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312CBE6" w14:textId="77777777">
        <w:trPr>
          <w:cantSplit/>
          <w:trHeight w:val="454"/>
          <w:jc w:val="center"/>
        </w:trPr>
        <w:tc>
          <w:tcPr>
            <w:tcW w:w="10404" w:type="dxa"/>
            <w:gridSpan w:val="2"/>
            <w:vAlign w:val="center"/>
          </w:tcPr>
          <w:p w14:paraId="41A7D842"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（三十七）优化经营主体登记注册。</w:t>
            </w:r>
          </w:p>
        </w:tc>
        <w:tc>
          <w:tcPr>
            <w:tcW w:w="1917" w:type="dxa"/>
            <w:vAlign w:val="center"/>
          </w:tcPr>
          <w:p w14:paraId="5F2024BB"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6F2E0215"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265AEB74" w14:textId="77777777">
        <w:trPr>
          <w:cantSplit/>
          <w:trHeight w:val="454"/>
          <w:jc w:val="center"/>
        </w:trPr>
        <w:tc>
          <w:tcPr>
            <w:tcW w:w="619" w:type="dxa"/>
            <w:vAlign w:val="center"/>
          </w:tcPr>
          <w:p w14:paraId="13252288"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72</w:t>
            </w:r>
          </w:p>
        </w:tc>
        <w:tc>
          <w:tcPr>
            <w:tcW w:w="9785" w:type="dxa"/>
            <w:vAlign w:val="center"/>
          </w:tcPr>
          <w:p w14:paraId="12AA6512"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实施住所（经营场所）</w:t>
            </w:r>
            <w:r>
              <w:rPr>
                <w:rFonts w:ascii="宋体" w:hAnsi="宋体"/>
                <w:color w:val="000000"/>
                <w:kern w:val="0"/>
                <w:sz w:val="24"/>
              </w:rPr>
              <w:t>“</w:t>
            </w:r>
            <w:r>
              <w:rPr>
                <w:rFonts w:ascii="Times New Roman" w:hAnsi="Times New Roman"/>
                <w:color w:val="000000"/>
                <w:kern w:val="0"/>
                <w:sz w:val="24"/>
              </w:rPr>
              <w:t>申报承诺</w:t>
            </w:r>
            <w:r>
              <w:rPr>
                <w:rFonts w:ascii="Times New Roman" w:hAnsi="Times New Roman"/>
                <w:color w:val="000000"/>
                <w:kern w:val="0"/>
                <w:sz w:val="24"/>
              </w:rPr>
              <w:t>+</w:t>
            </w:r>
            <w:r>
              <w:rPr>
                <w:rFonts w:ascii="Times New Roman" w:hAnsi="Times New Roman"/>
                <w:color w:val="000000"/>
                <w:kern w:val="0"/>
                <w:sz w:val="24"/>
              </w:rPr>
              <w:t>信息核验</w:t>
            </w:r>
            <w:r>
              <w:rPr>
                <w:rFonts w:ascii="宋体" w:hAnsi="宋体"/>
                <w:color w:val="000000"/>
                <w:kern w:val="0"/>
                <w:sz w:val="24"/>
              </w:rPr>
              <w:t>”</w:t>
            </w:r>
            <w:r>
              <w:rPr>
                <w:rFonts w:ascii="Times New Roman" w:hAnsi="Times New Roman"/>
                <w:color w:val="000000"/>
                <w:kern w:val="0"/>
                <w:sz w:val="24"/>
              </w:rPr>
              <w:t>登记，构建一人多照、短时多户等数据监测预警体系，强化对重点行业和区域的管理。探索市内经营主体登记注册</w:t>
            </w:r>
            <w:r>
              <w:rPr>
                <w:rFonts w:ascii="宋体" w:hAnsi="宋体"/>
                <w:color w:val="000000"/>
                <w:kern w:val="0"/>
                <w:sz w:val="24"/>
              </w:rPr>
              <w:t>“</w:t>
            </w:r>
            <w:r>
              <w:rPr>
                <w:rFonts w:ascii="Times New Roman" w:hAnsi="Times New Roman"/>
                <w:color w:val="000000"/>
                <w:kern w:val="0"/>
                <w:sz w:val="24"/>
              </w:rPr>
              <w:t>全域通办</w:t>
            </w:r>
            <w:r>
              <w:rPr>
                <w:rFonts w:ascii="宋体" w:hAnsi="宋体"/>
                <w:color w:val="000000"/>
                <w:kern w:val="0"/>
                <w:sz w:val="24"/>
              </w:rPr>
              <w:t>”</w:t>
            </w:r>
            <w:r>
              <w:rPr>
                <w:rFonts w:ascii="Times New Roman" w:hAnsi="Times New Roman"/>
                <w:color w:val="000000"/>
                <w:kern w:val="0"/>
                <w:sz w:val="24"/>
              </w:rPr>
              <w:t>、无差别办理，逐步取消市内经营主体迁移登记。积极推进企业迁移</w:t>
            </w:r>
            <w:r>
              <w:rPr>
                <w:rFonts w:ascii="宋体" w:hAnsi="宋体"/>
                <w:color w:val="000000"/>
                <w:kern w:val="0"/>
                <w:sz w:val="24"/>
              </w:rPr>
              <w:t>“</w:t>
            </w:r>
            <w:r>
              <w:rPr>
                <w:rFonts w:ascii="Times New Roman" w:hAnsi="Times New Roman"/>
                <w:color w:val="000000"/>
                <w:kern w:val="0"/>
                <w:sz w:val="24"/>
              </w:rPr>
              <w:t>一件事</w:t>
            </w:r>
            <w:r>
              <w:rPr>
                <w:rFonts w:ascii="宋体" w:hAnsi="宋体"/>
                <w:color w:val="000000"/>
                <w:kern w:val="0"/>
                <w:sz w:val="24"/>
              </w:rPr>
              <w:t>”</w:t>
            </w:r>
            <w:r>
              <w:rPr>
                <w:rFonts w:ascii="Times New Roman" w:hAnsi="Times New Roman"/>
                <w:color w:val="000000"/>
                <w:kern w:val="0"/>
                <w:sz w:val="24"/>
              </w:rPr>
              <w:t>改革。</w:t>
            </w:r>
          </w:p>
        </w:tc>
        <w:tc>
          <w:tcPr>
            <w:tcW w:w="1917" w:type="dxa"/>
            <w:vAlign w:val="center"/>
          </w:tcPr>
          <w:p w14:paraId="2DF416B7"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081846A5"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BD1B00B" w14:textId="77777777">
        <w:trPr>
          <w:cantSplit/>
          <w:trHeight w:val="454"/>
          <w:jc w:val="center"/>
        </w:trPr>
        <w:tc>
          <w:tcPr>
            <w:tcW w:w="619" w:type="dxa"/>
            <w:vAlign w:val="center"/>
          </w:tcPr>
          <w:p w14:paraId="09078DDF"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hint="eastAsia"/>
                <w:color w:val="000000"/>
                <w:kern w:val="0"/>
                <w:sz w:val="24"/>
              </w:rPr>
              <w:t>73</w:t>
            </w:r>
          </w:p>
        </w:tc>
        <w:tc>
          <w:tcPr>
            <w:tcW w:w="9785" w:type="dxa"/>
            <w:vAlign w:val="center"/>
          </w:tcPr>
          <w:p w14:paraId="01DA577E"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深化注册资本认缴制改革试点。组织制定出资期限、出资额明显异常的规范标准，建立向省级市场监管部门研判报告的工作机制，健全公司注册管理制度。</w:t>
            </w:r>
          </w:p>
        </w:tc>
        <w:tc>
          <w:tcPr>
            <w:tcW w:w="1917" w:type="dxa"/>
            <w:vAlign w:val="center"/>
          </w:tcPr>
          <w:p w14:paraId="305B2815"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341D8706"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8DD1EB9" w14:textId="77777777">
        <w:trPr>
          <w:cantSplit/>
          <w:trHeight w:val="454"/>
          <w:jc w:val="center"/>
        </w:trPr>
        <w:tc>
          <w:tcPr>
            <w:tcW w:w="619" w:type="dxa"/>
            <w:vAlign w:val="center"/>
          </w:tcPr>
          <w:p w14:paraId="665B7F0B"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hint="eastAsia"/>
                <w:color w:val="000000"/>
                <w:kern w:val="0"/>
                <w:sz w:val="24"/>
              </w:rPr>
              <w:t>74</w:t>
            </w:r>
          </w:p>
        </w:tc>
        <w:tc>
          <w:tcPr>
            <w:tcW w:w="9785" w:type="dxa"/>
            <w:vAlign w:val="center"/>
          </w:tcPr>
          <w:p w14:paraId="5F25BC4F"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开展</w:t>
            </w:r>
            <w:r>
              <w:rPr>
                <w:rFonts w:ascii="宋体" w:hAnsi="宋体"/>
                <w:color w:val="000000"/>
                <w:kern w:val="0"/>
                <w:sz w:val="24"/>
              </w:rPr>
              <w:t>“</w:t>
            </w:r>
            <w:r>
              <w:rPr>
                <w:rFonts w:ascii="Times New Roman" w:hAnsi="Times New Roman"/>
                <w:color w:val="000000"/>
                <w:kern w:val="0"/>
                <w:sz w:val="24"/>
              </w:rPr>
              <w:t>证前指导</w:t>
            </w:r>
            <w:r>
              <w:rPr>
                <w:rFonts w:ascii="宋体" w:hAnsi="宋体"/>
                <w:color w:val="000000"/>
                <w:kern w:val="0"/>
                <w:sz w:val="24"/>
              </w:rPr>
              <w:t>”</w:t>
            </w:r>
            <w:r>
              <w:rPr>
                <w:rFonts w:ascii="Times New Roman" w:hAnsi="Times New Roman"/>
                <w:color w:val="000000"/>
                <w:kern w:val="0"/>
                <w:sz w:val="24"/>
              </w:rPr>
              <w:t>服务，拓展</w:t>
            </w:r>
            <w:r>
              <w:rPr>
                <w:rFonts w:ascii="宋体" w:hAnsi="宋体"/>
                <w:color w:val="000000"/>
                <w:kern w:val="0"/>
                <w:sz w:val="24"/>
              </w:rPr>
              <w:t>“</w:t>
            </w:r>
            <w:r>
              <w:rPr>
                <w:rFonts w:ascii="Times New Roman" w:hAnsi="Times New Roman"/>
                <w:color w:val="000000"/>
                <w:kern w:val="0"/>
                <w:sz w:val="24"/>
              </w:rPr>
              <w:t>云核查</w:t>
            </w:r>
            <w:r>
              <w:rPr>
                <w:rFonts w:ascii="宋体" w:hAnsi="宋体"/>
                <w:color w:val="000000"/>
                <w:kern w:val="0"/>
                <w:sz w:val="24"/>
              </w:rPr>
              <w:t>”</w:t>
            </w:r>
            <w:r>
              <w:rPr>
                <w:rFonts w:ascii="Times New Roman" w:hAnsi="Times New Roman"/>
                <w:color w:val="000000"/>
                <w:kern w:val="0"/>
                <w:sz w:val="24"/>
              </w:rPr>
              <w:t>+</w:t>
            </w:r>
            <w:r>
              <w:rPr>
                <w:rFonts w:ascii="宋体" w:hAnsi="宋体"/>
                <w:color w:val="000000"/>
                <w:kern w:val="0"/>
                <w:sz w:val="24"/>
              </w:rPr>
              <w:t>“</w:t>
            </w:r>
            <w:r>
              <w:rPr>
                <w:rFonts w:ascii="Times New Roman" w:hAnsi="Times New Roman"/>
                <w:color w:val="000000"/>
                <w:kern w:val="0"/>
                <w:sz w:val="24"/>
              </w:rPr>
              <w:t>云办证</w:t>
            </w:r>
            <w:r>
              <w:rPr>
                <w:rFonts w:ascii="宋体" w:hAnsi="宋体"/>
                <w:color w:val="000000"/>
                <w:kern w:val="0"/>
                <w:sz w:val="24"/>
              </w:rPr>
              <w:t>”</w:t>
            </w:r>
            <w:r>
              <w:rPr>
                <w:rFonts w:ascii="Times New Roman" w:hAnsi="Times New Roman"/>
                <w:color w:val="000000"/>
                <w:kern w:val="0"/>
                <w:sz w:val="24"/>
              </w:rPr>
              <w:t>等市场准入智能导办服务场景。在食品生产、药品零售、第三类医疗器械经营等领域，提供事先现场勘察、业务咨询指导等服务，避免申请人盲目投资。</w:t>
            </w:r>
          </w:p>
        </w:tc>
        <w:tc>
          <w:tcPr>
            <w:tcW w:w="1917" w:type="dxa"/>
            <w:vAlign w:val="center"/>
          </w:tcPr>
          <w:p w14:paraId="45B61171"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74C807B8"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7E1F045" w14:textId="77777777">
        <w:trPr>
          <w:cantSplit/>
          <w:trHeight w:val="454"/>
          <w:jc w:val="center"/>
        </w:trPr>
        <w:tc>
          <w:tcPr>
            <w:tcW w:w="619" w:type="dxa"/>
            <w:vAlign w:val="center"/>
          </w:tcPr>
          <w:p w14:paraId="15F062DF"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hint="eastAsia"/>
                <w:color w:val="000000"/>
                <w:kern w:val="0"/>
                <w:sz w:val="24"/>
              </w:rPr>
              <w:t>75</w:t>
            </w:r>
          </w:p>
        </w:tc>
        <w:tc>
          <w:tcPr>
            <w:tcW w:w="9785" w:type="dxa"/>
            <w:vAlign w:val="center"/>
          </w:tcPr>
          <w:p w14:paraId="420DB950"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探索无纸化证照应用改革，经营主体可凭电子证照影印件或展示电子证照开展亮照（证）经营。加强与相关部门的对接协调，持续提升电子营业执照应用水平。</w:t>
            </w:r>
          </w:p>
        </w:tc>
        <w:tc>
          <w:tcPr>
            <w:tcW w:w="1917" w:type="dxa"/>
            <w:vAlign w:val="center"/>
          </w:tcPr>
          <w:p w14:paraId="238B03A9"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27183CD1"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7E2B50CF" w14:textId="77777777">
        <w:trPr>
          <w:cantSplit/>
          <w:trHeight w:val="454"/>
          <w:jc w:val="center"/>
        </w:trPr>
        <w:tc>
          <w:tcPr>
            <w:tcW w:w="10404" w:type="dxa"/>
            <w:gridSpan w:val="2"/>
            <w:vAlign w:val="center"/>
          </w:tcPr>
          <w:p w14:paraId="61CB78CE"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（三十八）健全经营主体退出机制。</w:t>
            </w:r>
          </w:p>
        </w:tc>
        <w:tc>
          <w:tcPr>
            <w:tcW w:w="1917" w:type="dxa"/>
            <w:vAlign w:val="center"/>
          </w:tcPr>
          <w:p w14:paraId="55E66CB2"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c>
          <w:tcPr>
            <w:tcW w:w="1377" w:type="dxa"/>
            <w:vAlign w:val="center"/>
          </w:tcPr>
          <w:p w14:paraId="03E4DE28" w14:textId="77777777" w:rsidR="00000000" w:rsidRDefault="00000000">
            <w:pPr>
              <w:autoSpaceDE w:val="0"/>
              <w:autoSpaceDN w:val="0"/>
              <w:adjustRightInd w:val="0"/>
              <w:spacing w:line="340" w:lineRule="exact"/>
              <w:jc w:val="left"/>
              <w:rPr>
                <w:rFonts w:ascii="Times New Roman" w:eastAsia="方正楷体简体" w:hAnsi="Times New Roman"/>
                <w:color w:val="000000"/>
                <w:kern w:val="0"/>
                <w:sz w:val="24"/>
              </w:rPr>
            </w:pPr>
          </w:p>
        </w:tc>
      </w:tr>
      <w:tr w:rsidR="00000000" w14:paraId="33B9703F" w14:textId="77777777">
        <w:trPr>
          <w:cantSplit/>
          <w:trHeight w:val="454"/>
          <w:jc w:val="center"/>
        </w:trPr>
        <w:tc>
          <w:tcPr>
            <w:tcW w:w="619" w:type="dxa"/>
            <w:vAlign w:val="center"/>
          </w:tcPr>
          <w:p w14:paraId="5EC822D0" w14:textId="77777777" w:rsidR="00000000" w:rsidRDefault="00000000">
            <w:pPr>
              <w:autoSpaceDE w:val="0"/>
              <w:autoSpaceDN w:val="0"/>
              <w:adjustRightInd w:val="0"/>
              <w:spacing w:line="34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76</w:t>
            </w:r>
          </w:p>
        </w:tc>
        <w:tc>
          <w:tcPr>
            <w:tcW w:w="9785" w:type="dxa"/>
            <w:vAlign w:val="center"/>
          </w:tcPr>
          <w:p w14:paraId="3EEC6B17" w14:textId="77777777" w:rsidR="00000000" w:rsidRDefault="00000000">
            <w:pPr>
              <w:autoSpaceDE w:val="0"/>
              <w:autoSpaceDN w:val="0"/>
              <w:adjustRightInd w:val="0"/>
              <w:spacing w:line="340" w:lineRule="exact"/>
              <w:jc w:val="left"/>
              <w:rPr>
                <w:rFonts w:ascii="Times New Roman" w:hAnsi="Times New Roman"/>
                <w:color w:val="000000"/>
                <w:kern w:val="0"/>
                <w:sz w:val="24"/>
              </w:rPr>
            </w:pPr>
            <w:r>
              <w:rPr>
                <w:rFonts w:ascii="Times New Roman" w:hAnsi="Times New Roman"/>
                <w:color w:val="000000"/>
                <w:kern w:val="0"/>
                <w:sz w:val="24"/>
              </w:rPr>
              <w:t>落实</w:t>
            </w:r>
            <w:r>
              <w:rPr>
                <w:rFonts w:ascii="宋体" w:hAnsi="宋体"/>
                <w:color w:val="000000"/>
                <w:kern w:val="0"/>
                <w:sz w:val="24"/>
              </w:rPr>
              <w:t>“</w:t>
            </w:r>
            <w:r>
              <w:rPr>
                <w:rFonts w:ascii="Times New Roman" w:hAnsi="Times New Roman"/>
                <w:color w:val="000000"/>
                <w:kern w:val="0"/>
                <w:sz w:val="24"/>
              </w:rPr>
              <w:t>强制注销</w:t>
            </w:r>
            <w:r>
              <w:rPr>
                <w:rFonts w:ascii="宋体" w:hAnsi="宋体"/>
                <w:color w:val="000000"/>
                <w:kern w:val="0"/>
                <w:sz w:val="24"/>
              </w:rPr>
              <w:t>”</w:t>
            </w:r>
            <w:r>
              <w:rPr>
                <w:rFonts w:ascii="Times New Roman" w:hAnsi="Times New Roman"/>
                <w:color w:val="000000"/>
                <w:kern w:val="0"/>
                <w:sz w:val="24"/>
              </w:rPr>
              <w:t>政策规定，推进</w:t>
            </w:r>
            <w:r>
              <w:rPr>
                <w:rFonts w:ascii="宋体" w:hAnsi="宋体"/>
                <w:color w:val="000000"/>
                <w:kern w:val="0"/>
                <w:sz w:val="24"/>
              </w:rPr>
              <w:t>“</w:t>
            </w:r>
            <w:r>
              <w:rPr>
                <w:rFonts w:ascii="Times New Roman" w:hAnsi="Times New Roman"/>
                <w:color w:val="000000"/>
                <w:kern w:val="0"/>
                <w:sz w:val="24"/>
              </w:rPr>
              <w:t>简易注销</w:t>
            </w:r>
            <w:r>
              <w:rPr>
                <w:rFonts w:ascii="Times New Roman" w:hAnsi="Times New Roman"/>
                <w:color w:val="000000"/>
                <w:kern w:val="0"/>
                <w:sz w:val="24"/>
              </w:rPr>
              <w:t>+</w:t>
            </w:r>
            <w:r>
              <w:rPr>
                <w:rFonts w:ascii="Times New Roman" w:hAnsi="Times New Roman"/>
                <w:color w:val="000000"/>
                <w:kern w:val="0"/>
                <w:sz w:val="24"/>
              </w:rPr>
              <w:t>一屏注销</w:t>
            </w:r>
            <w:r>
              <w:rPr>
                <w:rFonts w:ascii="Times New Roman" w:hAnsi="Times New Roman"/>
                <w:color w:val="000000"/>
                <w:kern w:val="0"/>
                <w:sz w:val="24"/>
              </w:rPr>
              <w:t>+</w:t>
            </w:r>
            <w:r>
              <w:rPr>
                <w:rFonts w:ascii="Times New Roman" w:hAnsi="Times New Roman"/>
                <w:color w:val="000000"/>
                <w:kern w:val="0"/>
                <w:sz w:val="24"/>
              </w:rPr>
              <w:t>代位注销</w:t>
            </w:r>
            <w:r>
              <w:rPr>
                <w:rFonts w:ascii="Times New Roman" w:hAnsi="Times New Roman"/>
                <w:color w:val="000000"/>
                <w:kern w:val="0"/>
                <w:sz w:val="24"/>
              </w:rPr>
              <w:t>+</w:t>
            </w:r>
            <w:r>
              <w:rPr>
                <w:rFonts w:ascii="Times New Roman" w:hAnsi="Times New Roman"/>
                <w:color w:val="000000"/>
                <w:kern w:val="0"/>
                <w:sz w:val="24"/>
              </w:rPr>
              <w:t>证照并销</w:t>
            </w:r>
            <w:r>
              <w:rPr>
                <w:rFonts w:ascii="宋体" w:hAnsi="宋体"/>
                <w:color w:val="000000"/>
                <w:kern w:val="0"/>
                <w:sz w:val="24"/>
              </w:rPr>
              <w:t>”</w:t>
            </w:r>
            <w:r>
              <w:rPr>
                <w:rFonts w:ascii="Times New Roman" w:hAnsi="Times New Roman"/>
                <w:color w:val="000000"/>
                <w:kern w:val="0"/>
                <w:sz w:val="24"/>
              </w:rPr>
              <w:t>多元化市场退出渠道，建立税务、社保等注销预检机制，简化撤销</w:t>
            </w:r>
            <w:r>
              <w:rPr>
                <w:rFonts w:ascii="宋体" w:hAnsi="宋体"/>
                <w:color w:val="000000"/>
                <w:kern w:val="0"/>
                <w:sz w:val="24"/>
              </w:rPr>
              <w:t>“</w:t>
            </w:r>
            <w:r>
              <w:rPr>
                <w:rFonts w:ascii="Times New Roman" w:hAnsi="Times New Roman"/>
                <w:color w:val="000000"/>
                <w:kern w:val="0"/>
                <w:sz w:val="24"/>
              </w:rPr>
              <w:t>强制注销</w:t>
            </w:r>
            <w:r>
              <w:rPr>
                <w:rFonts w:ascii="宋体" w:hAnsi="宋体"/>
                <w:color w:val="000000"/>
                <w:kern w:val="0"/>
                <w:sz w:val="24"/>
              </w:rPr>
              <w:t>”</w:t>
            </w:r>
            <w:r>
              <w:rPr>
                <w:rFonts w:ascii="Times New Roman" w:hAnsi="Times New Roman"/>
                <w:color w:val="000000"/>
                <w:kern w:val="0"/>
                <w:sz w:val="24"/>
              </w:rPr>
              <w:t>登记手续，破解经营主体</w:t>
            </w:r>
            <w:r>
              <w:rPr>
                <w:rFonts w:ascii="宋体" w:hAnsi="宋体"/>
                <w:color w:val="000000"/>
                <w:kern w:val="0"/>
                <w:sz w:val="24"/>
              </w:rPr>
              <w:t>“</w:t>
            </w:r>
            <w:r>
              <w:rPr>
                <w:rFonts w:ascii="Times New Roman" w:hAnsi="Times New Roman"/>
                <w:color w:val="000000"/>
                <w:kern w:val="0"/>
                <w:sz w:val="24"/>
              </w:rPr>
              <w:t>退出难</w:t>
            </w:r>
            <w:r>
              <w:rPr>
                <w:rFonts w:ascii="宋体" w:hAnsi="宋体"/>
                <w:color w:val="000000"/>
                <w:kern w:val="0"/>
                <w:sz w:val="24"/>
              </w:rPr>
              <w:t>”</w:t>
            </w:r>
            <w:r>
              <w:rPr>
                <w:rFonts w:ascii="Times New Roman" w:hAnsi="Times New Roman"/>
                <w:color w:val="000000"/>
                <w:kern w:val="0"/>
                <w:sz w:val="24"/>
              </w:rPr>
              <w:t>问题。开展企业注销公示信息</w:t>
            </w:r>
            <w:r>
              <w:rPr>
                <w:rFonts w:ascii="宋体" w:hAnsi="宋体"/>
                <w:color w:val="000000"/>
                <w:kern w:val="0"/>
                <w:sz w:val="24"/>
              </w:rPr>
              <w:t>“</w:t>
            </w:r>
            <w:r>
              <w:rPr>
                <w:rFonts w:ascii="Times New Roman" w:hAnsi="Times New Roman"/>
                <w:color w:val="000000"/>
                <w:kern w:val="0"/>
                <w:sz w:val="24"/>
              </w:rPr>
              <w:t>预纠错</w:t>
            </w:r>
            <w:r>
              <w:rPr>
                <w:rFonts w:ascii="宋体" w:hAnsi="宋体"/>
                <w:color w:val="000000"/>
                <w:kern w:val="0"/>
                <w:sz w:val="24"/>
              </w:rPr>
              <w:t>”</w:t>
            </w:r>
            <w:r>
              <w:rPr>
                <w:rFonts w:ascii="Times New Roman" w:hAnsi="Times New Roman"/>
                <w:color w:val="000000"/>
                <w:kern w:val="0"/>
                <w:sz w:val="24"/>
              </w:rPr>
              <w:t>改革试点，降低经营主体退出时间成本。</w:t>
            </w:r>
          </w:p>
        </w:tc>
        <w:tc>
          <w:tcPr>
            <w:tcW w:w="1917" w:type="dxa"/>
            <w:vAlign w:val="center"/>
          </w:tcPr>
          <w:p w14:paraId="0ED52FEB"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239C06B1" w14:textId="77777777" w:rsidR="00000000" w:rsidRDefault="00000000">
            <w:pPr>
              <w:autoSpaceDE w:val="0"/>
              <w:autoSpaceDN w:val="0"/>
              <w:adjustRightInd w:val="0"/>
              <w:spacing w:line="34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A298872" w14:textId="77777777">
        <w:trPr>
          <w:cantSplit/>
          <w:trHeight w:val="454"/>
          <w:jc w:val="center"/>
        </w:trPr>
        <w:tc>
          <w:tcPr>
            <w:tcW w:w="619" w:type="dxa"/>
            <w:vAlign w:val="center"/>
          </w:tcPr>
          <w:p w14:paraId="6C13E059"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hint="eastAsia"/>
                <w:color w:val="000000"/>
                <w:kern w:val="0"/>
                <w:sz w:val="24"/>
              </w:rPr>
              <w:t>77</w:t>
            </w:r>
          </w:p>
        </w:tc>
        <w:tc>
          <w:tcPr>
            <w:tcW w:w="9785" w:type="dxa"/>
            <w:vAlign w:val="center"/>
          </w:tcPr>
          <w:p w14:paraId="5192B0C4" w14:textId="77777777" w:rsidR="00000000" w:rsidRDefault="00000000">
            <w:pPr>
              <w:autoSpaceDE w:val="0"/>
              <w:autoSpaceDN w:val="0"/>
              <w:adjustRightInd w:val="0"/>
              <w:spacing w:line="336" w:lineRule="exact"/>
              <w:jc w:val="left"/>
              <w:rPr>
                <w:rFonts w:ascii="Times New Roman" w:hAnsi="Times New Roman"/>
                <w:color w:val="000000"/>
                <w:kern w:val="0"/>
                <w:sz w:val="24"/>
              </w:rPr>
            </w:pPr>
            <w:r>
              <w:rPr>
                <w:rFonts w:ascii="Times New Roman" w:hAnsi="Times New Roman"/>
                <w:color w:val="000000"/>
                <w:kern w:val="0"/>
                <w:sz w:val="24"/>
              </w:rPr>
              <w:t>完善企业破产工作机制，制定</w:t>
            </w:r>
            <w:r>
              <w:rPr>
                <w:rFonts w:ascii="宋体" w:hAnsi="宋体"/>
                <w:color w:val="000000"/>
                <w:kern w:val="0"/>
                <w:sz w:val="24"/>
              </w:rPr>
              <w:t>“</w:t>
            </w:r>
            <w:r>
              <w:rPr>
                <w:rFonts w:ascii="Times New Roman" w:hAnsi="Times New Roman"/>
                <w:color w:val="000000"/>
                <w:kern w:val="0"/>
                <w:sz w:val="24"/>
              </w:rPr>
              <w:t>预重整</w:t>
            </w:r>
            <w:r>
              <w:rPr>
                <w:rFonts w:ascii="宋体" w:hAnsi="宋体"/>
                <w:color w:val="000000"/>
                <w:kern w:val="0"/>
                <w:sz w:val="24"/>
              </w:rPr>
              <w:t>”</w:t>
            </w:r>
            <w:r>
              <w:rPr>
                <w:rFonts w:ascii="Times New Roman" w:hAnsi="Times New Roman"/>
                <w:color w:val="000000"/>
                <w:kern w:val="0"/>
                <w:sz w:val="24"/>
              </w:rPr>
              <w:t>工作指引。探索推动破产财产处置、</w:t>
            </w:r>
            <w:r>
              <w:rPr>
                <w:rFonts w:ascii="Times New Roman" w:hAnsi="Times New Roman"/>
                <w:color w:val="000000"/>
                <w:kern w:val="0"/>
                <w:sz w:val="24"/>
              </w:rPr>
              <w:t xml:space="preserve"> </w:t>
            </w:r>
            <w:r>
              <w:rPr>
                <w:rFonts w:ascii="Times New Roman" w:hAnsi="Times New Roman"/>
                <w:color w:val="000000"/>
                <w:kern w:val="0"/>
                <w:sz w:val="24"/>
              </w:rPr>
              <w:t>投资招募与招商引资有机融合，提高财产处置效率和重整成功率。</w:t>
            </w:r>
          </w:p>
        </w:tc>
        <w:tc>
          <w:tcPr>
            <w:tcW w:w="1917" w:type="dxa"/>
            <w:vAlign w:val="center"/>
          </w:tcPr>
          <w:p w14:paraId="0394218E"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市中级人民法院</w:t>
            </w:r>
          </w:p>
        </w:tc>
        <w:tc>
          <w:tcPr>
            <w:tcW w:w="1377" w:type="dxa"/>
            <w:vAlign w:val="center"/>
          </w:tcPr>
          <w:p w14:paraId="64D7E999"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42263FF" w14:textId="77777777">
        <w:trPr>
          <w:cantSplit/>
          <w:trHeight w:val="454"/>
          <w:jc w:val="center"/>
        </w:trPr>
        <w:tc>
          <w:tcPr>
            <w:tcW w:w="619" w:type="dxa"/>
            <w:vAlign w:val="center"/>
          </w:tcPr>
          <w:p w14:paraId="36644C8A"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hint="eastAsia"/>
                <w:color w:val="000000"/>
                <w:kern w:val="0"/>
                <w:sz w:val="24"/>
              </w:rPr>
              <w:lastRenderedPageBreak/>
              <w:t>78</w:t>
            </w:r>
          </w:p>
        </w:tc>
        <w:tc>
          <w:tcPr>
            <w:tcW w:w="9785" w:type="dxa"/>
            <w:vAlign w:val="center"/>
          </w:tcPr>
          <w:p w14:paraId="40D91CC7" w14:textId="77777777" w:rsidR="00000000" w:rsidRDefault="00000000">
            <w:pPr>
              <w:autoSpaceDE w:val="0"/>
              <w:autoSpaceDN w:val="0"/>
              <w:adjustRightInd w:val="0"/>
              <w:spacing w:line="336" w:lineRule="exact"/>
              <w:jc w:val="left"/>
              <w:rPr>
                <w:rFonts w:ascii="Times New Roman" w:hAnsi="Times New Roman"/>
                <w:color w:val="000000"/>
                <w:kern w:val="0"/>
                <w:sz w:val="24"/>
              </w:rPr>
            </w:pPr>
            <w:r>
              <w:rPr>
                <w:rFonts w:ascii="Times New Roman" w:hAnsi="Times New Roman"/>
                <w:color w:val="000000"/>
                <w:kern w:val="0"/>
                <w:sz w:val="24"/>
              </w:rPr>
              <w:t>鼓励金融机构按照市场化、法治化原则，参与破产程序，加大为重整、和解企业恢复生产经营提供融资纾困支持力度。</w:t>
            </w:r>
          </w:p>
        </w:tc>
        <w:tc>
          <w:tcPr>
            <w:tcW w:w="1917" w:type="dxa"/>
            <w:vAlign w:val="center"/>
          </w:tcPr>
          <w:p w14:paraId="6431E58B"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人民银行蚌埠市分行</w:t>
            </w:r>
          </w:p>
        </w:tc>
        <w:tc>
          <w:tcPr>
            <w:tcW w:w="1377" w:type="dxa"/>
            <w:vAlign w:val="center"/>
          </w:tcPr>
          <w:p w14:paraId="693FEADF"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5791F36" w14:textId="77777777">
        <w:trPr>
          <w:cantSplit/>
          <w:trHeight w:val="454"/>
          <w:jc w:val="center"/>
        </w:trPr>
        <w:tc>
          <w:tcPr>
            <w:tcW w:w="10404" w:type="dxa"/>
            <w:gridSpan w:val="2"/>
            <w:vAlign w:val="center"/>
          </w:tcPr>
          <w:p w14:paraId="4663188F" w14:textId="77777777" w:rsidR="00000000" w:rsidRDefault="00000000">
            <w:pPr>
              <w:autoSpaceDE w:val="0"/>
              <w:autoSpaceDN w:val="0"/>
              <w:adjustRightInd w:val="0"/>
              <w:spacing w:line="336"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（三十九）持续推进</w:t>
            </w:r>
            <w:r>
              <w:rPr>
                <w:rFonts w:ascii="宋体" w:hAnsi="宋体"/>
                <w:color w:val="000000"/>
                <w:kern w:val="0"/>
                <w:sz w:val="24"/>
              </w:rPr>
              <w:t>“</w:t>
            </w:r>
            <w:r>
              <w:rPr>
                <w:rFonts w:ascii="Times New Roman" w:eastAsia="方正楷体简体" w:hAnsi="Times New Roman"/>
                <w:color w:val="000000"/>
                <w:kern w:val="0"/>
                <w:sz w:val="24"/>
              </w:rPr>
              <w:t>高效办成一件事</w:t>
            </w:r>
            <w:r>
              <w:rPr>
                <w:rFonts w:ascii="宋体" w:hAnsi="宋体"/>
                <w:color w:val="000000"/>
                <w:kern w:val="0"/>
                <w:sz w:val="24"/>
              </w:rPr>
              <w:t>”</w:t>
            </w:r>
            <w:r>
              <w:rPr>
                <w:rFonts w:ascii="Times New Roman" w:eastAsia="方正楷体简体" w:hAnsi="Times New Roman"/>
                <w:color w:val="000000"/>
                <w:kern w:val="0"/>
                <w:sz w:val="24"/>
              </w:rPr>
              <w:t>。</w:t>
            </w:r>
          </w:p>
        </w:tc>
        <w:tc>
          <w:tcPr>
            <w:tcW w:w="1917" w:type="dxa"/>
            <w:vAlign w:val="center"/>
          </w:tcPr>
          <w:p w14:paraId="62B20781" w14:textId="77777777" w:rsidR="00000000" w:rsidRDefault="00000000">
            <w:pPr>
              <w:autoSpaceDE w:val="0"/>
              <w:autoSpaceDN w:val="0"/>
              <w:adjustRightInd w:val="0"/>
              <w:spacing w:line="336" w:lineRule="exact"/>
              <w:jc w:val="left"/>
              <w:rPr>
                <w:rFonts w:ascii="Times New Roman" w:eastAsia="方正楷体简体" w:hAnsi="Times New Roman"/>
                <w:color w:val="000000"/>
                <w:kern w:val="0"/>
                <w:sz w:val="24"/>
              </w:rPr>
            </w:pPr>
          </w:p>
        </w:tc>
        <w:tc>
          <w:tcPr>
            <w:tcW w:w="1377" w:type="dxa"/>
            <w:vAlign w:val="center"/>
          </w:tcPr>
          <w:p w14:paraId="62D6CCBB" w14:textId="77777777" w:rsidR="00000000" w:rsidRDefault="00000000">
            <w:pPr>
              <w:autoSpaceDE w:val="0"/>
              <w:autoSpaceDN w:val="0"/>
              <w:adjustRightInd w:val="0"/>
              <w:spacing w:line="336" w:lineRule="exact"/>
              <w:jc w:val="left"/>
              <w:rPr>
                <w:rFonts w:ascii="Times New Roman" w:eastAsia="方正楷体简体" w:hAnsi="Times New Roman"/>
                <w:color w:val="000000"/>
                <w:kern w:val="0"/>
                <w:sz w:val="24"/>
              </w:rPr>
            </w:pPr>
          </w:p>
        </w:tc>
      </w:tr>
      <w:tr w:rsidR="00000000" w14:paraId="2F54E5D7" w14:textId="77777777">
        <w:trPr>
          <w:cantSplit/>
          <w:trHeight w:val="454"/>
          <w:jc w:val="center"/>
        </w:trPr>
        <w:tc>
          <w:tcPr>
            <w:tcW w:w="619" w:type="dxa"/>
            <w:vAlign w:val="center"/>
          </w:tcPr>
          <w:p w14:paraId="72AF4F6D" w14:textId="77777777" w:rsidR="00000000" w:rsidRDefault="00000000">
            <w:pPr>
              <w:autoSpaceDE w:val="0"/>
              <w:autoSpaceDN w:val="0"/>
              <w:adjustRightInd w:val="0"/>
              <w:spacing w:line="336"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79</w:t>
            </w:r>
          </w:p>
        </w:tc>
        <w:tc>
          <w:tcPr>
            <w:tcW w:w="9785" w:type="dxa"/>
            <w:vAlign w:val="center"/>
          </w:tcPr>
          <w:p w14:paraId="4A870F9E" w14:textId="77777777" w:rsidR="00000000" w:rsidRDefault="00000000">
            <w:pPr>
              <w:autoSpaceDE w:val="0"/>
              <w:autoSpaceDN w:val="0"/>
              <w:adjustRightInd w:val="0"/>
              <w:spacing w:line="336" w:lineRule="exact"/>
              <w:jc w:val="left"/>
              <w:rPr>
                <w:rFonts w:ascii="Times New Roman" w:hAnsi="Times New Roman"/>
                <w:color w:val="000000"/>
                <w:kern w:val="0"/>
                <w:sz w:val="24"/>
              </w:rPr>
            </w:pPr>
            <w:r>
              <w:rPr>
                <w:rFonts w:ascii="Times New Roman" w:hAnsi="Times New Roman"/>
                <w:color w:val="000000"/>
                <w:kern w:val="0"/>
                <w:sz w:val="24"/>
              </w:rPr>
              <w:t>落实</w:t>
            </w:r>
            <w:r>
              <w:rPr>
                <w:rFonts w:ascii="宋体" w:hAnsi="宋体"/>
                <w:color w:val="000000"/>
                <w:kern w:val="0"/>
                <w:sz w:val="24"/>
              </w:rPr>
              <w:t>“</w:t>
            </w:r>
            <w:r>
              <w:rPr>
                <w:rFonts w:ascii="Times New Roman" w:hAnsi="Times New Roman"/>
                <w:color w:val="000000"/>
                <w:kern w:val="0"/>
                <w:sz w:val="24"/>
              </w:rPr>
              <w:t>高效办成一件事</w:t>
            </w:r>
            <w:r>
              <w:rPr>
                <w:rFonts w:ascii="宋体" w:hAnsi="宋体"/>
                <w:color w:val="000000"/>
                <w:kern w:val="0"/>
                <w:sz w:val="24"/>
              </w:rPr>
              <w:t>”</w:t>
            </w:r>
            <w:r>
              <w:rPr>
                <w:rFonts w:ascii="Times New Roman" w:hAnsi="Times New Roman"/>
                <w:color w:val="000000"/>
                <w:kern w:val="0"/>
                <w:sz w:val="24"/>
              </w:rPr>
              <w:t>重点事项清单管理机制和常态化推进机制，推动国家级、省级新批次改革场景落实。持续拓展服务事项和范围，围绕市场准入准营、工程项目审批等重点领域和高频事项，新增、迭代推出更多</w:t>
            </w:r>
            <w:r>
              <w:rPr>
                <w:rFonts w:ascii="宋体" w:hAnsi="宋体"/>
                <w:color w:val="000000"/>
                <w:kern w:val="0"/>
                <w:sz w:val="24"/>
              </w:rPr>
              <w:t>“</w:t>
            </w:r>
            <w:r>
              <w:rPr>
                <w:rFonts w:ascii="Times New Roman" w:hAnsi="Times New Roman"/>
                <w:color w:val="000000"/>
                <w:kern w:val="0"/>
                <w:sz w:val="24"/>
              </w:rPr>
              <w:t>高效办成一件事</w:t>
            </w:r>
            <w:r>
              <w:rPr>
                <w:rFonts w:ascii="宋体" w:hAnsi="宋体"/>
                <w:color w:val="000000"/>
                <w:kern w:val="0"/>
                <w:sz w:val="24"/>
              </w:rPr>
              <w:t>”</w:t>
            </w:r>
            <w:r>
              <w:rPr>
                <w:rFonts w:ascii="Times New Roman" w:hAnsi="Times New Roman"/>
                <w:color w:val="000000"/>
                <w:kern w:val="0"/>
                <w:sz w:val="24"/>
              </w:rPr>
              <w:t>应用场景。</w:t>
            </w:r>
          </w:p>
        </w:tc>
        <w:tc>
          <w:tcPr>
            <w:tcW w:w="1917" w:type="dxa"/>
            <w:vAlign w:val="center"/>
          </w:tcPr>
          <w:p w14:paraId="3A6F0687"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市数据资源局</w:t>
            </w:r>
          </w:p>
        </w:tc>
        <w:tc>
          <w:tcPr>
            <w:tcW w:w="1377" w:type="dxa"/>
            <w:vAlign w:val="center"/>
          </w:tcPr>
          <w:p w14:paraId="505A329F"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02F7218A" w14:textId="77777777">
        <w:trPr>
          <w:cantSplit/>
          <w:trHeight w:val="454"/>
          <w:jc w:val="center"/>
        </w:trPr>
        <w:tc>
          <w:tcPr>
            <w:tcW w:w="10404" w:type="dxa"/>
            <w:gridSpan w:val="2"/>
            <w:vAlign w:val="center"/>
          </w:tcPr>
          <w:p w14:paraId="6702280B" w14:textId="77777777" w:rsidR="00000000" w:rsidRDefault="00000000">
            <w:pPr>
              <w:autoSpaceDE w:val="0"/>
              <w:autoSpaceDN w:val="0"/>
              <w:adjustRightInd w:val="0"/>
              <w:spacing w:line="336"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（四十）推进惠企政策</w:t>
            </w:r>
            <w:r>
              <w:rPr>
                <w:rFonts w:ascii="宋体" w:hAnsi="宋体"/>
                <w:color w:val="000000"/>
                <w:kern w:val="0"/>
                <w:sz w:val="24"/>
              </w:rPr>
              <w:t>“</w:t>
            </w:r>
            <w:r>
              <w:rPr>
                <w:rFonts w:ascii="Times New Roman" w:eastAsia="方正楷体简体" w:hAnsi="Times New Roman"/>
                <w:color w:val="000000"/>
                <w:kern w:val="0"/>
                <w:sz w:val="24"/>
              </w:rPr>
              <w:t>一站式</w:t>
            </w:r>
            <w:r>
              <w:rPr>
                <w:rFonts w:ascii="宋体" w:hAnsi="宋体"/>
                <w:color w:val="000000"/>
                <w:kern w:val="0"/>
                <w:sz w:val="24"/>
              </w:rPr>
              <w:t>”</w:t>
            </w:r>
            <w:r>
              <w:rPr>
                <w:rFonts w:ascii="Times New Roman" w:eastAsia="方正楷体简体" w:hAnsi="Times New Roman"/>
                <w:color w:val="000000"/>
                <w:kern w:val="0"/>
                <w:sz w:val="24"/>
              </w:rPr>
              <w:t>服务。</w:t>
            </w:r>
          </w:p>
        </w:tc>
        <w:tc>
          <w:tcPr>
            <w:tcW w:w="1917" w:type="dxa"/>
            <w:vAlign w:val="center"/>
          </w:tcPr>
          <w:p w14:paraId="58C71E03" w14:textId="77777777" w:rsidR="00000000" w:rsidRDefault="00000000">
            <w:pPr>
              <w:autoSpaceDE w:val="0"/>
              <w:autoSpaceDN w:val="0"/>
              <w:adjustRightInd w:val="0"/>
              <w:spacing w:line="336" w:lineRule="exact"/>
              <w:jc w:val="left"/>
              <w:rPr>
                <w:rFonts w:ascii="Times New Roman" w:eastAsia="方正楷体简体" w:hAnsi="Times New Roman"/>
                <w:color w:val="000000"/>
                <w:kern w:val="0"/>
                <w:sz w:val="24"/>
              </w:rPr>
            </w:pPr>
          </w:p>
        </w:tc>
        <w:tc>
          <w:tcPr>
            <w:tcW w:w="1377" w:type="dxa"/>
            <w:vAlign w:val="center"/>
          </w:tcPr>
          <w:p w14:paraId="69D74822" w14:textId="77777777" w:rsidR="00000000" w:rsidRDefault="00000000">
            <w:pPr>
              <w:autoSpaceDE w:val="0"/>
              <w:autoSpaceDN w:val="0"/>
              <w:adjustRightInd w:val="0"/>
              <w:spacing w:line="336" w:lineRule="exact"/>
              <w:jc w:val="left"/>
              <w:rPr>
                <w:rFonts w:ascii="Times New Roman" w:eastAsia="方正楷体简体" w:hAnsi="Times New Roman"/>
                <w:color w:val="000000"/>
                <w:kern w:val="0"/>
                <w:sz w:val="24"/>
              </w:rPr>
            </w:pPr>
          </w:p>
        </w:tc>
      </w:tr>
      <w:tr w:rsidR="00000000" w14:paraId="7527247D" w14:textId="77777777">
        <w:trPr>
          <w:cantSplit/>
          <w:trHeight w:val="454"/>
          <w:jc w:val="center"/>
        </w:trPr>
        <w:tc>
          <w:tcPr>
            <w:tcW w:w="619" w:type="dxa"/>
            <w:vAlign w:val="center"/>
          </w:tcPr>
          <w:p w14:paraId="5DCE4ECC" w14:textId="77777777" w:rsidR="00000000" w:rsidRDefault="00000000">
            <w:pPr>
              <w:autoSpaceDE w:val="0"/>
              <w:autoSpaceDN w:val="0"/>
              <w:adjustRightInd w:val="0"/>
              <w:spacing w:line="336"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80</w:t>
            </w:r>
          </w:p>
        </w:tc>
        <w:tc>
          <w:tcPr>
            <w:tcW w:w="9785" w:type="dxa"/>
            <w:vAlign w:val="center"/>
          </w:tcPr>
          <w:p w14:paraId="4EB1D3A2" w14:textId="77777777" w:rsidR="00000000" w:rsidRDefault="00000000">
            <w:pPr>
              <w:autoSpaceDE w:val="0"/>
              <w:autoSpaceDN w:val="0"/>
              <w:adjustRightInd w:val="0"/>
              <w:spacing w:line="336" w:lineRule="exact"/>
              <w:jc w:val="left"/>
              <w:rPr>
                <w:rFonts w:ascii="Times New Roman" w:hAnsi="Times New Roman"/>
                <w:color w:val="000000"/>
                <w:kern w:val="0"/>
                <w:sz w:val="24"/>
              </w:rPr>
            </w:pPr>
            <w:r>
              <w:rPr>
                <w:rFonts w:ascii="Times New Roman" w:hAnsi="Times New Roman"/>
                <w:color w:val="000000"/>
                <w:kern w:val="0"/>
                <w:sz w:val="24"/>
              </w:rPr>
              <w:t>落实前置协同审查、集中统一发布、精细化拆解匹配等机制，通过</w:t>
            </w:r>
            <w:r>
              <w:rPr>
                <w:rFonts w:ascii="宋体" w:hAnsi="宋体"/>
                <w:color w:val="000000"/>
                <w:kern w:val="0"/>
                <w:sz w:val="24"/>
              </w:rPr>
              <w:t>“</w:t>
            </w:r>
            <w:r>
              <w:rPr>
                <w:rFonts w:ascii="Times New Roman" w:hAnsi="Times New Roman"/>
                <w:color w:val="000000"/>
                <w:kern w:val="0"/>
                <w:sz w:val="24"/>
              </w:rPr>
              <w:t>皖企通</w:t>
            </w:r>
            <w:r>
              <w:rPr>
                <w:rFonts w:ascii="宋体" w:hAnsi="宋体"/>
                <w:color w:val="000000"/>
                <w:kern w:val="0"/>
                <w:sz w:val="24"/>
              </w:rPr>
              <w:t>”</w:t>
            </w:r>
            <w:r>
              <w:rPr>
                <w:rFonts w:ascii="Times New Roman" w:hAnsi="Times New Roman"/>
                <w:color w:val="000000"/>
                <w:kern w:val="0"/>
                <w:sz w:val="24"/>
              </w:rPr>
              <w:t>及蚌埠惠企服务平台等平台深度对接，健全惠企政策制定、实施、兑付</w:t>
            </w:r>
            <w:r>
              <w:rPr>
                <w:rFonts w:ascii="宋体" w:hAnsi="宋体"/>
                <w:color w:val="000000"/>
                <w:kern w:val="0"/>
                <w:sz w:val="24"/>
              </w:rPr>
              <w:t>“</w:t>
            </w:r>
            <w:r>
              <w:rPr>
                <w:rFonts w:ascii="Times New Roman" w:hAnsi="Times New Roman"/>
                <w:color w:val="000000"/>
                <w:kern w:val="0"/>
                <w:sz w:val="24"/>
              </w:rPr>
              <w:t>一站式</w:t>
            </w:r>
            <w:r>
              <w:rPr>
                <w:rFonts w:ascii="宋体" w:hAnsi="宋体"/>
                <w:color w:val="000000"/>
                <w:kern w:val="0"/>
                <w:sz w:val="24"/>
              </w:rPr>
              <w:t>”</w:t>
            </w:r>
            <w:r>
              <w:rPr>
                <w:rFonts w:ascii="Times New Roman" w:hAnsi="Times New Roman"/>
                <w:color w:val="000000"/>
                <w:kern w:val="0"/>
                <w:sz w:val="24"/>
              </w:rPr>
              <w:t>服务体系。</w:t>
            </w:r>
          </w:p>
        </w:tc>
        <w:tc>
          <w:tcPr>
            <w:tcW w:w="1917" w:type="dxa"/>
            <w:vAlign w:val="center"/>
          </w:tcPr>
          <w:p w14:paraId="1710D16F"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市司法局、</w:t>
            </w:r>
          </w:p>
          <w:p w14:paraId="7B3F5228"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市财政局</w:t>
            </w:r>
          </w:p>
        </w:tc>
        <w:tc>
          <w:tcPr>
            <w:tcW w:w="1377" w:type="dxa"/>
            <w:vAlign w:val="center"/>
          </w:tcPr>
          <w:p w14:paraId="473FC9A2"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010B1AA" w14:textId="77777777">
        <w:trPr>
          <w:cantSplit/>
          <w:trHeight w:val="454"/>
          <w:jc w:val="center"/>
        </w:trPr>
        <w:tc>
          <w:tcPr>
            <w:tcW w:w="619" w:type="dxa"/>
            <w:vAlign w:val="center"/>
          </w:tcPr>
          <w:p w14:paraId="79AFCB0A"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hint="eastAsia"/>
                <w:color w:val="000000"/>
                <w:kern w:val="0"/>
                <w:sz w:val="24"/>
              </w:rPr>
              <w:t>8</w:t>
            </w:r>
            <w:r>
              <w:rPr>
                <w:rFonts w:ascii="Times New Roman" w:hAnsi="Times New Roman"/>
                <w:color w:val="000000"/>
                <w:kern w:val="0"/>
                <w:sz w:val="24"/>
              </w:rPr>
              <w:t>1</w:t>
            </w:r>
          </w:p>
        </w:tc>
        <w:tc>
          <w:tcPr>
            <w:tcW w:w="9785" w:type="dxa"/>
            <w:vAlign w:val="center"/>
          </w:tcPr>
          <w:p w14:paraId="680D33BE" w14:textId="77777777" w:rsidR="00000000" w:rsidRDefault="00000000">
            <w:pPr>
              <w:autoSpaceDE w:val="0"/>
              <w:autoSpaceDN w:val="0"/>
              <w:adjustRightInd w:val="0"/>
              <w:spacing w:line="336" w:lineRule="exact"/>
              <w:jc w:val="left"/>
              <w:rPr>
                <w:rFonts w:ascii="Times New Roman" w:hAnsi="Times New Roman"/>
                <w:color w:val="000000"/>
                <w:kern w:val="0"/>
                <w:sz w:val="24"/>
              </w:rPr>
            </w:pPr>
            <w:r>
              <w:rPr>
                <w:rFonts w:ascii="Times New Roman" w:hAnsi="Times New Roman"/>
                <w:color w:val="000000"/>
                <w:kern w:val="0"/>
                <w:sz w:val="24"/>
              </w:rPr>
              <w:t>深化惠企政策精准推送、申报提醒等智能服务，优化政策兑现流程，压缩办理时限，提升全程网办比例，不断扩大</w:t>
            </w:r>
            <w:r>
              <w:rPr>
                <w:rFonts w:ascii="宋体" w:hAnsi="宋体"/>
                <w:color w:val="000000"/>
                <w:kern w:val="0"/>
                <w:sz w:val="24"/>
              </w:rPr>
              <w:t>“</w:t>
            </w:r>
            <w:r>
              <w:rPr>
                <w:rFonts w:ascii="Times New Roman" w:hAnsi="Times New Roman"/>
                <w:color w:val="000000"/>
                <w:kern w:val="0"/>
                <w:sz w:val="24"/>
              </w:rPr>
              <w:t>免申即享</w:t>
            </w:r>
            <w:r>
              <w:rPr>
                <w:rFonts w:ascii="宋体" w:hAnsi="宋体"/>
                <w:color w:val="000000"/>
                <w:kern w:val="0"/>
                <w:sz w:val="24"/>
              </w:rPr>
              <w:t>”“</w:t>
            </w:r>
            <w:r>
              <w:rPr>
                <w:rFonts w:ascii="Times New Roman" w:hAnsi="Times New Roman"/>
                <w:color w:val="000000"/>
                <w:kern w:val="0"/>
                <w:sz w:val="24"/>
              </w:rPr>
              <w:t>即申即享</w:t>
            </w:r>
            <w:r>
              <w:rPr>
                <w:rFonts w:ascii="宋体" w:hAnsi="宋体"/>
                <w:color w:val="000000"/>
                <w:kern w:val="0"/>
                <w:sz w:val="24"/>
              </w:rPr>
              <w:t>”</w:t>
            </w:r>
            <w:r>
              <w:rPr>
                <w:rFonts w:ascii="Times New Roman" w:hAnsi="Times New Roman"/>
                <w:color w:val="000000"/>
                <w:kern w:val="0"/>
                <w:sz w:val="24"/>
              </w:rPr>
              <w:t>覆盖面。</w:t>
            </w:r>
          </w:p>
        </w:tc>
        <w:tc>
          <w:tcPr>
            <w:tcW w:w="1917" w:type="dxa"/>
            <w:vAlign w:val="center"/>
          </w:tcPr>
          <w:p w14:paraId="5D86FCA1"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市数据资源局</w:t>
            </w:r>
          </w:p>
        </w:tc>
        <w:tc>
          <w:tcPr>
            <w:tcW w:w="1377" w:type="dxa"/>
            <w:vAlign w:val="center"/>
          </w:tcPr>
          <w:p w14:paraId="1E9688F4"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072065E" w14:textId="77777777">
        <w:trPr>
          <w:cantSplit/>
          <w:trHeight w:val="454"/>
          <w:jc w:val="center"/>
        </w:trPr>
        <w:tc>
          <w:tcPr>
            <w:tcW w:w="10404" w:type="dxa"/>
            <w:gridSpan w:val="2"/>
            <w:vAlign w:val="center"/>
          </w:tcPr>
          <w:p w14:paraId="6B7C82FF" w14:textId="77777777" w:rsidR="00000000" w:rsidRDefault="00000000">
            <w:pPr>
              <w:autoSpaceDE w:val="0"/>
              <w:autoSpaceDN w:val="0"/>
              <w:adjustRightInd w:val="0"/>
              <w:spacing w:line="336"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（四十一）改进企业诉求办理工作。</w:t>
            </w:r>
          </w:p>
        </w:tc>
        <w:tc>
          <w:tcPr>
            <w:tcW w:w="1917" w:type="dxa"/>
            <w:vAlign w:val="center"/>
          </w:tcPr>
          <w:p w14:paraId="22BA7257" w14:textId="77777777" w:rsidR="00000000" w:rsidRDefault="00000000">
            <w:pPr>
              <w:autoSpaceDE w:val="0"/>
              <w:autoSpaceDN w:val="0"/>
              <w:adjustRightInd w:val="0"/>
              <w:spacing w:line="336" w:lineRule="exact"/>
              <w:jc w:val="left"/>
              <w:rPr>
                <w:rFonts w:ascii="Times New Roman" w:eastAsia="方正楷体简体" w:hAnsi="Times New Roman"/>
                <w:color w:val="000000"/>
                <w:kern w:val="0"/>
                <w:sz w:val="24"/>
              </w:rPr>
            </w:pPr>
          </w:p>
        </w:tc>
        <w:tc>
          <w:tcPr>
            <w:tcW w:w="1377" w:type="dxa"/>
            <w:vAlign w:val="center"/>
          </w:tcPr>
          <w:p w14:paraId="65C13744" w14:textId="77777777" w:rsidR="00000000" w:rsidRDefault="00000000">
            <w:pPr>
              <w:autoSpaceDE w:val="0"/>
              <w:autoSpaceDN w:val="0"/>
              <w:adjustRightInd w:val="0"/>
              <w:spacing w:line="336" w:lineRule="exact"/>
              <w:jc w:val="left"/>
              <w:rPr>
                <w:rFonts w:ascii="Times New Roman" w:eastAsia="方正楷体简体" w:hAnsi="Times New Roman"/>
                <w:color w:val="000000"/>
                <w:kern w:val="0"/>
                <w:sz w:val="24"/>
              </w:rPr>
            </w:pPr>
          </w:p>
        </w:tc>
      </w:tr>
      <w:tr w:rsidR="00000000" w14:paraId="6EDC0AA8" w14:textId="77777777">
        <w:trPr>
          <w:cantSplit/>
          <w:trHeight w:val="454"/>
          <w:jc w:val="center"/>
        </w:trPr>
        <w:tc>
          <w:tcPr>
            <w:tcW w:w="619" w:type="dxa"/>
            <w:vAlign w:val="center"/>
          </w:tcPr>
          <w:p w14:paraId="716B15BE" w14:textId="77777777" w:rsidR="00000000" w:rsidRDefault="00000000">
            <w:pPr>
              <w:autoSpaceDE w:val="0"/>
              <w:autoSpaceDN w:val="0"/>
              <w:adjustRightInd w:val="0"/>
              <w:spacing w:line="336"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8</w:t>
            </w:r>
            <w:r>
              <w:rPr>
                <w:rFonts w:ascii="Times New Roman" w:eastAsia="方正楷体简体" w:hAnsi="Times New Roman"/>
                <w:color w:val="000000"/>
                <w:kern w:val="0"/>
                <w:sz w:val="24"/>
              </w:rPr>
              <w:t>2</w:t>
            </w:r>
          </w:p>
        </w:tc>
        <w:tc>
          <w:tcPr>
            <w:tcW w:w="9785" w:type="dxa"/>
            <w:vAlign w:val="center"/>
          </w:tcPr>
          <w:p w14:paraId="342E12CF" w14:textId="77777777" w:rsidR="00000000" w:rsidRDefault="00000000">
            <w:pPr>
              <w:autoSpaceDE w:val="0"/>
              <w:autoSpaceDN w:val="0"/>
              <w:adjustRightInd w:val="0"/>
              <w:spacing w:line="336" w:lineRule="exact"/>
              <w:jc w:val="left"/>
              <w:rPr>
                <w:rFonts w:ascii="Times New Roman" w:hAnsi="Times New Roman"/>
                <w:color w:val="000000"/>
                <w:kern w:val="0"/>
                <w:sz w:val="24"/>
              </w:rPr>
            </w:pPr>
            <w:r>
              <w:rPr>
                <w:rFonts w:ascii="Times New Roman" w:hAnsi="Times New Roman"/>
                <w:color w:val="000000"/>
                <w:kern w:val="0"/>
                <w:sz w:val="24"/>
              </w:rPr>
              <w:t>发挥省创优营商环境为企服务平台与蚌埠市</w:t>
            </w:r>
            <w:r>
              <w:rPr>
                <w:rFonts w:ascii="Times New Roman" w:hAnsi="Times New Roman"/>
                <w:color w:val="000000"/>
                <w:kern w:val="0"/>
                <w:sz w:val="24"/>
              </w:rPr>
              <w:t>12345</w:t>
            </w:r>
            <w:r>
              <w:rPr>
                <w:rFonts w:ascii="Times New Roman" w:hAnsi="Times New Roman"/>
                <w:color w:val="000000"/>
                <w:kern w:val="0"/>
                <w:sz w:val="24"/>
              </w:rPr>
              <w:t>热线</w:t>
            </w:r>
            <w:r>
              <w:rPr>
                <w:rFonts w:ascii="宋体" w:hAnsi="宋体"/>
                <w:color w:val="000000"/>
                <w:kern w:val="0"/>
                <w:sz w:val="24"/>
              </w:rPr>
              <w:t>“</w:t>
            </w:r>
            <w:r>
              <w:rPr>
                <w:rFonts w:ascii="Times New Roman" w:hAnsi="Times New Roman"/>
                <w:color w:val="000000"/>
                <w:kern w:val="0"/>
                <w:sz w:val="24"/>
              </w:rPr>
              <w:t>营商环境监督分线</w:t>
            </w:r>
            <w:r>
              <w:rPr>
                <w:rFonts w:ascii="宋体" w:hAnsi="宋体"/>
                <w:color w:val="000000"/>
                <w:kern w:val="0"/>
                <w:sz w:val="24"/>
              </w:rPr>
              <w:t>”</w:t>
            </w:r>
            <w:r>
              <w:rPr>
                <w:rFonts w:ascii="Times New Roman" w:hAnsi="Times New Roman"/>
                <w:color w:val="000000"/>
                <w:kern w:val="0"/>
                <w:sz w:val="24"/>
              </w:rPr>
              <w:t>协同机制作用，完善为企服务闭环办理工作机制。推动政务服务领域加快利用人工智能等技术，强化区域性、行业性、周期性涉企问题智能分析研判，赋能企业诉求未提先办、主动治理。</w:t>
            </w:r>
          </w:p>
        </w:tc>
        <w:tc>
          <w:tcPr>
            <w:tcW w:w="1917" w:type="dxa"/>
            <w:vAlign w:val="center"/>
          </w:tcPr>
          <w:p w14:paraId="6694618B"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市营商环境局</w:t>
            </w:r>
          </w:p>
        </w:tc>
        <w:tc>
          <w:tcPr>
            <w:tcW w:w="1377" w:type="dxa"/>
            <w:vAlign w:val="center"/>
          </w:tcPr>
          <w:p w14:paraId="656F033C"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5D6754FD" w14:textId="77777777">
        <w:trPr>
          <w:cantSplit/>
          <w:trHeight w:val="454"/>
          <w:jc w:val="center"/>
        </w:trPr>
        <w:tc>
          <w:tcPr>
            <w:tcW w:w="619" w:type="dxa"/>
            <w:vAlign w:val="center"/>
          </w:tcPr>
          <w:p w14:paraId="0A91C486"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hint="eastAsia"/>
                <w:color w:val="000000"/>
                <w:kern w:val="0"/>
                <w:sz w:val="24"/>
              </w:rPr>
              <w:t>8</w:t>
            </w:r>
            <w:r>
              <w:rPr>
                <w:rFonts w:ascii="Times New Roman" w:hAnsi="Times New Roman"/>
                <w:color w:val="000000"/>
                <w:kern w:val="0"/>
                <w:sz w:val="24"/>
              </w:rPr>
              <w:t>3</w:t>
            </w:r>
          </w:p>
        </w:tc>
        <w:tc>
          <w:tcPr>
            <w:tcW w:w="9785" w:type="dxa"/>
            <w:vAlign w:val="center"/>
          </w:tcPr>
          <w:p w14:paraId="152CF4F7" w14:textId="77777777" w:rsidR="00000000" w:rsidRDefault="00000000">
            <w:pPr>
              <w:autoSpaceDE w:val="0"/>
              <w:autoSpaceDN w:val="0"/>
              <w:adjustRightInd w:val="0"/>
              <w:spacing w:line="336" w:lineRule="exact"/>
              <w:jc w:val="left"/>
              <w:rPr>
                <w:rFonts w:ascii="Times New Roman" w:hAnsi="Times New Roman"/>
                <w:color w:val="000000"/>
                <w:kern w:val="0"/>
                <w:sz w:val="24"/>
              </w:rPr>
            </w:pPr>
            <w:r>
              <w:rPr>
                <w:rFonts w:ascii="Times New Roman" w:hAnsi="Times New Roman"/>
                <w:color w:val="000000"/>
                <w:kern w:val="0"/>
                <w:sz w:val="24"/>
              </w:rPr>
              <w:t>完善营商环境监测点、营商环境体验员、企业全职服务员等多种形式的企业诉求反馈渠道，建立营商环境体验员参加企业诉求办公活动机制。</w:t>
            </w:r>
          </w:p>
        </w:tc>
        <w:tc>
          <w:tcPr>
            <w:tcW w:w="1917" w:type="dxa"/>
            <w:vAlign w:val="center"/>
          </w:tcPr>
          <w:p w14:paraId="78BE689E"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市营商环境局</w:t>
            </w:r>
          </w:p>
        </w:tc>
        <w:tc>
          <w:tcPr>
            <w:tcW w:w="1377" w:type="dxa"/>
            <w:vAlign w:val="center"/>
          </w:tcPr>
          <w:p w14:paraId="3BC05AC7"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7</w:t>
            </w:r>
            <w:r>
              <w:rPr>
                <w:rFonts w:ascii="Times New Roman" w:hAnsi="Times New Roman"/>
                <w:color w:val="000000"/>
                <w:kern w:val="0"/>
                <w:sz w:val="24"/>
              </w:rPr>
              <w:t>月</w:t>
            </w:r>
          </w:p>
        </w:tc>
      </w:tr>
      <w:tr w:rsidR="00000000" w14:paraId="5B8F2FE5" w14:textId="77777777">
        <w:trPr>
          <w:cantSplit/>
          <w:trHeight w:val="454"/>
          <w:jc w:val="center"/>
        </w:trPr>
        <w:tc>
          <w:tcPr>
            <w:tcW w:w="619" w:type="dxa"/>
            <w:vAlign w:val="center"/>
          </w:tcPr>
          <w:p w14:paraId="60345FCD"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hint="eastAsia"/>
                <w:color w:val="000000"/>
                <w:kern w:val="0"/>
                <w:sz w:val="24"/>
              </w:rPr>
              <w:t>8</w:t>
            </w:r>
            <w:r>
              <w:rPr>
                <w:rFonts w:ascii="Times New Roman" w:hAnsi="Times New Roman"/>
                <w:color w:val="000000"/>
                <w:kern w:val="0"/>
                <w:sz w:val="24"/>
              </w:rPr>
              <w:t>4</w:t>
            </w:r>
          </w:p>
        </w:tc>
        <w:tc>
          <w:tcPr>
            <w:tcW w:w="9785" w:type="dxa"/>
            <w:vAlign w:val="center"/>
          </w:tcPr>
          <w:p w14:paraId="544C18E8" w14:textId="77777777" w:rsidR="00000000" w:rsidRDefault="00000000">
            <w:pPr>
              <w:autoSpaceDE w:val="0"/>
              <w:autoSpaceDN w:val="0"/>
              <w:adjustRightInd w:val="0"/>
              <w:spacing w:line="336" w:lineRule="exact"/>
              <w:jc w:val="left"/>
              <w:rPr>
                <w:rFonts w:ascii="Times New Roman" w:hAnsi="Times New Roman"/>
                <w:color w:val="000000"/>
                <w:kern w:val="0"/>
                <w:sz w:val="24"/>
              </w:rPr>
            </w:pPr>
            <w:r>
              <w:rPr>
                <w:rFonts w:ascii="Times New Roman" w:hAnsi="Times New Roman"/>
                <w:color w:val="000000"/>
                <w:kern w:val="0"/>
                <w:sz w:val="24"/>
              </w:rPr>
              <w:t>发挥行业商会作用，对日常走访收集到的各类企业诉求分级分类办理，建立与为企服务平台的企业诉求共商共办机制。</w:t>
            </w:r>
          </w:p>
        </w:tc>
        <w:tc>
          <w:tcPr>
            <w:tcW w:w="1917" w:type="dxa"/>
            <w:vAlign w:val="center"/>
          </w:tcPr>
          <w:p w14:paraId="06646988"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市工商联</w:t>
            </w:r>
          </w:p>
        </w:tc>
        <w:tc>
          <w:tcPr>
            <w:tcW w:w="1377" w:type="dxa"/>
            <w:vAlign w:val="center"/>
          </w:tcPr>
          <w:p w14:paraId="55313370" w14:textId="77777777" w:rsidR="00000000" w:rsidRDefault="00000000">
            <w:pPr>
              <w:autoSpaceDE w:val="0"/>
              <w:autoSpaceDN w:val="0"/>
              <w:adjustRightInd w:val="0"/>
              <w:spacing w:line="336"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9B20947" w14:textId="77777777">
        <w:trPr>
          <w:cantSplit/>
          <w:trHeight w:val="454"/>
          <w:jc w:val="center"/>
        </w:trPr>
        <w:tc>
          <w:tcPr>
            <w:tcW w:w="10404" w:type="dxa"/>
            <w:gridSpan w:val="2"/>
            <w:vAlign w:val="center"/>
          </w:tcPr>
          <w:p w14:paraId="1F2D46B9"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（四十二）深入推进工程建设项目审批改革。</w:t>
            </w:r>
          </w:p>
        </w:tc>
        <w:tc>
          <w:tcPr>
            <w:tcW w:w="1917" w:type="dxa"/>
            <w:vAlign w:val="center"/>
          </w:tcPr>
          <w:p w14:paraId="26FEFB94"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1F062479"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48B887E0" w14:textId="77777777">
        <w:trPr>
          <w:cantSplit/>
          <w:trHeight w:val="454"/>
          <w:jc w:val="center"/>
        </w:trPr>
        <w:tc>
          <w:tcPr>
            <w:tcW w:w="619" w:type="dxa"/>
            <w:vAlign w:val="center"/>
          </w:tcPr>
          <w:p w14:paraId="4E1AC208" w14:textId="77777777" w:rsidR="00000000" w:rsidRDefault="00000000">
            <w:pPr>
              <w:autoSpaceDE w:val="0"/>
              <w:autoSpaceDN w:val="0"/>
              <w:adjustRightInd w:val="0"/>
              <w:spacing w:line="372"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lastRenderedPageBreak/>
              <w:t>8</w:t>
            </w:r>
            <w:r>
              <w:rPr>
                <w:rFonts w:ascii="Times New Roman" w:eastAsia="方正楷体简体" w:hAnsi="Times New Roman"/>
                <w:color w:val="000000"/>
                <w:kern w:val="0"/>
                <w:sz w:val="24"/>
              </w:rPr>
              <w:t>5</w:t>
            </w:r>
          </w:p>
        </w:tc>
        <w:tc>
          <w:tcPr>
            <w:tcW w:w="9785" w:type="dxa"/>
            <w:vAlign w:val="center"/>
          </w:tcPr>
          <w:p w14:paraId="7392938E" w14:textId="77777777" w:rsidR="00000000" w:rsidRDefault="00000000">
            <w:pPr>
              <w:autoSpaceDE w:val="0"/>
              <w:autoSpaceDN w:val="0"/>
              <w:adjustRightInd w:val="0"/>
              <w:spacing w:line="372" w:lineRule="exact"/>
              <w:jc w:val="left"/>
              <w:rPr>
                <w:rFonts w:ascii="Times New Roman" w:hAnsi="Times New Roman"/>
                <w:color w:val="000000"/>
                <w:kern w:val="0"/>
                <w:sz w:val="24"/>
              </w:rPr>
            </w:pPr>
            <w:r>
              <w:rPr>
                <w:rFonts w:ascii="Times New Roman" w:hAnsi="Times New Roman"/>
                <w:color w:val="000000"/>
                <w:kern w:val="0"/>
                <w:sz w:val="24"/>
              </w:rPr>
              <w:t>针对特殊建设工程以外的其他工程，细化一般项目与重点项目分类标准，探索实行一般项目消防审验告知承诺制。落实房屋建筑赋码和落图机制，推进工程建设项目审批全流程数据归集共享。</w:t>
            </w:r>
          </w:p>
        </w:tc>
        <w:tc>
          <w:tcPr>
            <w:tcW w:w="1917" w:type="dxa"/>
            <w:vAlign w:val="center"/>
          </w:tcPr>
          <w:p w14:paraId="5933A8F1"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市住房和城乡建设局</w:t>
            </w:r>
          </w:p>
        </w:tc>
        <w:tc>
          <w:tcPr>
            <w:tcW w:w="1377" w:type="dxa"/>
            <w:vAlign w:val="center"/>
          </w:tcPr>
          <w:p w14:paraId="2DE51738"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A4B13FE" w14:textId="77777777">
        <w:trPr>
          <w:cantSplit/>
          <w:trHeight w:val="454"/>
          <w:jc w:val="center"/>
        </w:trPr>
        <w:tc>
          <w:tcPr>
            <w:tcW w:w="619" w:type="dxa"/>
            <w:vAlign w:val="center"/>
          </w:tcPr>
          <w:p w14:paraId="6A416F9E"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hint="eastAsia"/>
                <w:color w:val="000000"/>
                <w:kern w:val="0"/>
                <w:sz w:val="24"/>
              </w:rPr>
              <w:t>8</w:t>
            </w:r>
            <w:r>
              <w:rPr>
                <w:rFonts w:ascii="Times New Roman" w:hAnsi="Times New Roman"/>
                <w:color w:val="000000"/>
                <w:kern w:val="0"/>
                <w:sz w:val="24"/>
              </w:rPr>
              <w:t>6</w:t>
            </w:r>
          </w:p>
        </w:tc>
        <w:tc>
          <w:tcPr>
            <w:tcW w:w="9785" w:type="dxa"/>
            <w:vAlign w:val="center"/>
          </w:tcPr>
          <w:p w14:paraId="6B63F908" w14:textId="77777777" w:rsidR="00000000" w:rsidRDefault="00000000">
            <w:pPr>
              <w:autoSpaceDE w:val="0"/>
              <w:autoSpaceDN w:val="0"/>
              <w:adjustRightInd w:val="0"/>
              <w:spacing w:line="372" w:lineRule="exact"/>
              <w:jc w:val="left"/>
              <w:rPr>
                <w:rFonts w:ascii="Times New Roman" w:hAnsi="Times New Roman"/>
                <w:color w:val="000000"/>
                <w:kern w:val="0"/>
                <w:sz w:val="24"/>
              </w:rPr>
            </w:pPr>
            <w:r>
              <w:rPr>
                <w:rFonts w:ascii="Times New Roman" w:hAnsi="Times New Roman"/>
                <w:color w:val="000000"/>
                <w:kern w:val="0"/>
                <w:sz w:val="24"/>
              </w:rPr>
              <w:t>制定完善市级建设工程规划许可豁免清单，落实落细规划许可豁免政策。深入推进工程建设项目</w:t>
            </w:r>
            <w:r>
              <w:rPr>
                <w:rFonts w:ascii="Times New Roman" w:hAnsi="Times New Roman"/>
                <w:color w:val="000000"/>
                <w:kern w:val="0"/>
                <w:sz w:val="24"/>
              </w:rPr>
              <w:t xml:space="preserve"> </w:t>
            </w:r>
            <w:r>
              <w:rPr>
                <w:rFonts w:ascii="宋体" w:hAnsi="宋体"/>
                <w:color w:val="000000"/>
                <w:kern w:val="0"/>
                <w:sz w:val="24"/>
              </w:rPr>
              <w:t>“</w:t>
            </w:r>
            <w:r>
              <w:rPr>
                <w:rFonts w:ascii="Times New Roman" w:hAnsi="Times New Roman"/>
                <w:color w:val="000000"/>
                <w:kern w:val="0"/>
                <w:sz w:val="24"/>
              </w:rPr>
              <w:t>多测合一</w:t>
            </w:r>
            <w:r>
              <w:rPr>
                <w:rFonts w:ascii="宋体" w:hAnsi="宋体"/>
                <w:color w:val="000000"/>
                <w:kern w:val="0"/>
                <w:sz w:val="24"/>
              </w:rPr>
              <w:t>”</w:t>
            </w:r>
            <w:r>
              <w:rPr>
                <w:rFonts w:ascii="Times New Roman" w:hAnsi="Times New Roman"/>
                <w:color w:val="000000"/>
                <w:kern w:val="0"/>
                <w:sz w:val="24"/>
              </w:rPr>
              <w:t xml:space="preserve"> </w:t>
            </w:r>
            <w:r>
              <w:rPr>
                <w:rFonts w:ascii="Times New Roman" w:hAnsi="Times New Roman"/>
                <w:color w:val="000000"/>
                <w:kern w:val="0"/>
                <w:sz w:val="24"/>
              </w:rPr>
              <w:t>改革。</w:t>
            </w:r>
          </w:p>
        </w:tc>
        <w:tc>
          <w:tcPr>
            <w:tcW w:w="1917" w:type="dxa"/>
            <w:vAlign w:val="center"/>
          </w:tcPr>
          <w:p w14:paraId="755592AD"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市自然资源和</w:t>
            </w:r>
          </w:p>
          <w:p w14:paraId="6EE8F0E7"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规划局</w:t>
            </w:r>
          </w:p>
        </w:tc>
        <w:tc>
          <w:tcPr>
            <w:tcW w:w="1377" w:type="dxa"/>
            <w:vAlign w:val="center"/>
          </w:tcPr>
          <w:p w14:paraId="796ECA12"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4BC9653" w14:textId="77777777">
        <w:trPr>
          <w:cantSplit/>
          <w:trHeight w:val="454"/>
          <w:jc w:val="center"/>
        </w:trPr>
        <w:tc>
          <w:tcPr>
            <w:tcW w:w="10404" w:type="dxa"/>
            <w:gridSpan w:val="2"/>
            <w:vAlign w:val="center"/>
          </w:tcPr>
          <w:p w14:paraId="1D4AD011" w14:textId="77777777" w:rsidR="00000000" w:rsidRDefault="00000000">
            <w:pPr>
              <w:autoSpaceDE w:val="0"/>
              <w:autoSpaceDN w:val="0"/>
              <w:adjustRightInd w:val="0"/>
              <w:spacing w:line="372"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（四十三）持续提升不动产登记便利度。</w:t>
            </w:r>
          </w:p>
        </w:tc>
        <w:tc>
          <w:tcPr>
            <w:tcW w:w="1917" w:type="dxa"/>
            <w:vAlign w:val="center"/>
          </w:tcPr>
          <w:p w14:paraId="5A1CD904" w14:textId="77777777" w:rsidR="00000000" w:rsidRDefault="00000000">
            <w:pPr>
              <w:autoSpaceDE w:val="0"/>
              <w:autoSpaceDN w:val="0"/>
              <w:adjustRightInd w:val="0"/>
              <w:spacing w:line="372" w:lineRule="exact"/>
              <w:jc w:val="left"/>
              <w:rPr>
                <w:rFonts w:ascii="Times New Roman" w:eastAsia="方正楷体简体" w:hAnsi="Times New Roman"/>
                <w:color w:val="000000"/>
                <w:kern w:val="0"/>
                <w:sz w:val="24"/>
              </w:rPr>
            </w:pPr>
          </w:p>
        </w:tc>
        <w:tc>
          <w:tcPr>
            <w:tcW w:w="1377" w:type="dxa"/>
            <w:vAlign w:val="center"/>
          </w:tcPr>
          <w:p w14:paraId="1FBE5B2D" w14:textId="77777777" w:rsidR="00000000" w:rsidRDefault="00000000">
            <w:pPr>
              <w:autoSpaceDE w:val="0"/>
              <w:autoSpaceDN w:val="0"/>
              <w:adjustRightInd w:val="0"/>
              <w:spacing w:line="372" w:lineRule="exact"/>
              <w:jc w:val="left"/>
              <w:rPr>
                <w:rFonts w:ascii="Times New Roman" w:eastAsia="方正楷体简体" w:hAnsi="Times New Roman"/>
                <w:color w:val="000000"/>
                <w:kern w:val="0"/>
                <w:sz w:val="24"/>
              </w:rPr>
            </w:pPr>
          </w:p>
        </w:tc>
      </w:tr>
      <w:tr w:rsidR="00000000" w14:paraId="270FE339" w14:textId="77777777">
        <w:trPr>
          <w:cantSplit/>
          <w:trHeight w:val="454"/>
          <w:jc w:val="center"/>
        </w:trPr>
        <w:tc>
          <w:tcPr>
            <w:tcW w:w="619" w:type="dxa"/>
            <w:vAlign w:val="center"/>
          </w:tcPr>
          <w:p w14:paraId="31DFEB35" w14:textId="77777777" w:rsidR="00000000" w:rsidRDefault="00000000">
            <w:pPr>
              <w:autoSpaceDE w:val="0"/>
              <w:autoSpaceDN w:val="0"/>
              <w:adjustRightInd w:val="0"/>
              <w:spacing w:line="372"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87</w:t>
            </w:r>
          </w:p>
        </w:tc>
        <w:tc>
          <w:tcPr>
            <w:tcW w:w="9785" w:type="dxa"/>
            <w:vAlign w:val="center"/>
          </w:tcPr>
          <w:p w14:paraId="764F3029" w14:textId="77777777" w:rsidR="00000000" w:rsidRDefault="00000000">
            <w:pPr>
              <w:autoSpaceDE w:val="0"/>
              <w:autoSpaceDN w:val="0"/>
              <w:adjustRightInd w:val="0"/>
              <w:spacing w:line="372" w:lineRule="exact"/>
              <w:jc w:val="left"/>
              <w:rPr>
                <w:rFonts w:ascii="Times New Roman" w:hAnsi="Times New Roman"/>
                <w:color w:val="000000"/>
                <w:kern w:val="0"/>
                <w:sz w:val="24"/>
              </w:rPr>
            </w:pPr>
            <w:r>
              <w:rPr>
                <w:rFonts w:ascii="Times New Roman" w:hAnsi="Times New Roman"/>
                <w:color w:val="000000"/>
                <w:kern w:val="0"/>
                <w:sz w:val="24"/>
              </w:rPr>
              <w:t>深入推进国有土地上不动产登记全业务类型全程网办</w:t>
            </w:r>
            <w:r>
              <w:rPr>
                <w:rFonts w:ascii="Times New Roman" w:hAnsi="Times New Roman" w:hint="eastAsia"/>
                <w:color w:val="000000"/>
                <w:kern w:val="0"/>
                <w:sz w:val="24"/>
              </w:rPr>
              <w:t>、</w:t>
            </w:r>
            <w:r>
              <w:rPr>
                <w:rFonts w:ascii="Times New Roman" w:hAnsi="Times New Roman"/>
                <w:color w:val="000000"/>
                <w:kern w:val="0"/>
                <w:sz w:val="24"/>
              </w:rPr>
              <w:t>跨省通办。通过人脸识别、电子签名（章）、线上审核利害关系人材料等方式，拓展登记信息在线便利化查询服务。支持地图查找定位不动产，开放不动产自然状况及权利限制状况查询。</w:t>
            </w:r>
          </w:p>
        </w:tc>
        <w:tc>
          <w:tcPr>
            <w:tcW w:w="1917" w:type="dxa"/>
            <w:vAlign w:val="center"/>
          </w:tcPr>
          <w:p w14:paraId="56F781EA"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市自然资源和</w:t>
            </w:r>
          </w:p>
          <w:p w14:paraId="703FD2EF"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规划局</w:t>
            </w:r>
          </w:p>
        </w:tc>
        <w:tc>
          <w:tcPr>
            <w:tcW w:w="1377" w:type="dxa"/>
            <w:vAlign w:val="center"/>
          </w:tcPr>
          <w:p w14:paraId="5B8C0E5D"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2418C628" w14:textId="77777777">
        <w:trPr>
          <w:cantSplit/>
          <w:trHeight w:val="454"/>
          <w:jc w:val="center"/>
        </w:trPr>
        <w:tc>
          <w:tcPr>
            <w:tcW w:w="619" w:type="dxa"/>
            <w:vAlign w:val="center"/>
          </w:tcPr>
          <w:p w14:paraId="278CC897"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hint="eastAsia"/>
                <w:color w:val="000000"/>
                <w:kern w:val="0"/>
                <w:sz w:val="24"/>
              </w:rPr>
              <w:t>88</w:t>
            </w:r>
          </w:p>
        </w:tc>
        <w:tc>
          <w:tcPr>
            <w:tcW w:w="9785" w:type="dxa"/>
            <w:vAlign w:val="center"/>
          </w:tcPr>
          <w:p w14:paraId="5EF81C40" w14:textId="77777777" w:rsidR="00000000" w:rsidRDefault="00000000">
            <w:pPr>
              <w:autoSpaceDE w:val="0"/>
              <w:autoSpaceDN w:val="0"/>
              <w:adjustRightInd w:val="0"/>
              <w:spacing w:line="372" w:lineRule="exact"/>
              <w:jc w:val="left"/>
              <w:rPr>
                <w:rFonts w:ascii="Times New Roman" w:hAnsi="Times New Roman"/>
                <w:color w:val="000000"/>
                <w:kern w:val="0"/>
                <w:sz w:val="24"/>
              </w:rPr>
            </w:pPr>
            <w:r>
              <w:rPr>
                <w:rFonts w:ascii="Times New Roman" w:hAnsi="Times New Roman"/>
                <w:color w:val="000000"/>
                <w:kern w:val="0"/>
                <w:sz w:val="24"/>
              </w:rPr>
              <w:t>推动实现住宅、工商业等各类不动产</w:t>
            </w:r>
            <w:r>
              <w:rPr>
                <w:rFonts w:ascii="宋体" w:hAnsi="宋体"/>
                <w:color w:val="000000"/>
                <w:kern w:val="0"/>
                <w:sz w:val="24"/>
              </w:rPr>
              <w:t>“</w:t>
            </w:r>
            <w:r>
              <w:rPr>
                <w:rFonts w:ascii="Times New Roman" w:hAnsi="Times New Roman"/>
                <w:color w:val="000000"/>
                <w:kern w:val="0"/>
                <w:sz w:val="24"/>
              </w:rPr>
              <w:t>带押过户</w:t>
            </w:r>
            <w:r>
              <w:rPr>
                <w:rFonts w:ascii="宋体" w:hAnsi="宋体"/>
                <w:color w:val="000000"/>
                <w:kern w:val="0"/>
                <w:sz w:val="24"/>
              </w:rPr>
              <w:t>”</w:t>
            </w:r>
            <w:r>
              <w:rPr>
                <w:rFonts w:ascii="Times New Roman" w:hAnsi="Times New Roman"/>
                <w:color w:val="000000"/>
                <w:kern w:val="0"/>
                <w:sz w:val="24"/>
              </w:rPr>
              <w:t>业务跨银行业金融机构可办。</w:t>
            </w:r>
          </w:p>
        </w:tc>
        <w:tc>
          <w:tcPr>
            <w:tcW w:w="1917" w:type="dxa"/>
            <w:vAlign w:val="center"/>
          </w:tcPr>
          <w:p w14:paraId="6F60A375"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国家金融监管</w:t>
            </w:r>
          </w:p>
          <w:p w14:paraId="696BA208"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总局蚌埠分局</w:t>
            </w:r>
          </w:p>
        </w:tc>
        <w:tc>
          <w:tcPr>
            <w:tcW w:w="1377" w:type="dxa"/>
            <w:vAlign w:val="center"/>
          </w:tcPr>
          <w:p w14:paraId="613407B6"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3720198" w14:textId="77777777">
        <w:trPr>
          <w:cantSplit/>
          <w:trHeight w:val="454"/>
          <w:jc w:val="center"/>
        </w:trPr>
        <w:tc>
          <w:tcPr>
            <w:tcW w:w="619" w:type="dxa"/>
            <w:vAlign w:val="center"/>
          </w:tcPr>
          <w:p w14:paraId="6576BBBA"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hint="eastAsia"/>
                <w:color w:val="000000"/>
                <w:kern w:val="0"/>
                <w:sz w:val="24"/>
              </w:rPr>
              <w:t>89</w:t>
            </w:r>
          </w:p>
        </w:tc>
        <w:tc>
          <w:tcPr>
            <w:tcW w:w="9785" w:type="dxa"/>
            <w:vAlign w:val="center"/>
          </w:tcPr>
          <w:p w14:paraId="170CCE8D" w14:textId="77777777" w:rsidR="00000000" w:rsidRDefault="00000000">
            <w:pPr>
              <w:autoSpaceDE w:val="0"/>
              <w:autoSpaceDN w:val="0"/>
              <w:adjustRightInd w:val="0"/>
              <w:spacing w:line="372" w:lineRule="exact"/>
              <w:jc w:val="left"/>
              <w:rPr>
                <w:rFonts w:ascii="Times New Roman" w:hAnsi="Times New Roman"/>
                <w:color w:val="000000"/>
                <w:kern w:val="0"/>
                <w:sz w:val="24"/>
              </w:rPr>
            </w:pPr>
            <w:r>
              <w:rPr>
                <w:rFonts w:ascii="Times New Roman" w:hAnsi="Times New Roman"/>
                <w:color w:val="000000"/>
                <w:kern w:val="0"/>
                <w:sz w:val="24"/>
              </w:rPr>
              <w:t>推进</w:t>
            </w:r>
            <w:r>
              <w:rPr>
                <w:rFonts w:ascii="宋体" w:hAnsi="宋体"/>
                <w:color w:val="000000"/>
                <w:kern w:val="0"/>
                <w:sz w:val="24"/>
              </w:rPr>
              <w:t>“</w:t>
            </w:r>
            <w:r>
              <w:rPr>
                <w:rFonts w:ascii="Times New Roman" w:hAnsi="Times New Roman"/>
                <w:color w:val="000000"/>
                <w:kern w:val="0"/>
                <w:sz w:val="24"/>
              </w:rPr>
              <w:t>不动产登记</w:t>
            </w:r>
            <w:r>
              <w:rPr>
                <w:rFonts w:ascii="Times New Roman" w:hAnsi="Times New Roman"/>
                <w:color w:val="000000"/>
                <w:kern w:val="0"/>
                <w:sz w:val="24"/>
              </w:rPr>
              <w:t>+</w:t>
            </w:r>
            <w:r>
              <w:rPr>
                <w:rFonts w:ascii="Times New Roman" w:hAnsi="Times New Roman"/>
                <w:color w:val="000000"/>
                <w:kern w:val="0"/>
                <w:sz w:val="24"/>
              </w:rPr>
              <w:t>房产交易</w:t>
            </w:r>
            <w:r>
              <w:rPr>
                <w:rFonts w:ascii="宋体" w:hAnsi="宋体"/>
                <w:color w:val="000000"/>
                <w:kern w:val="0"/>
                <w:sz w:val="24"/>
              </w:rPr>
              <w:t>”</w:t>
            </w:r>
            <w:r>
              <w:rPr>
                <w:rFonts w:ascii="Times New Roman" w:hAnsi="Times New Roman"/>
                <w:color w:val="000000"/>
                <w:kern w:val="0"/>
                <w:sz w:val="24"/>
              </w:rPr>
              <w:t>的场景建设，全面实行商品房买卖电子合同，实现商品房预售合同备案与不动产预告登记同步办理，积极推广存量房预告登记。</w:t>
            </w:r>
          </w:p>
        </w:tc>
        <w:tc>
          <w:tcPr>
            <w:tcW w:w="1917" w:type="dxa"/>
            <w:vAlign w:val="center"/>
          </w:tcPr>
          <w:p w14:paraId="615CB3FD"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市住房和城乡</w:t>
            </w:r>
          </w:p>
          <w:p w14:paraId="3C71D6AA"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建设局</w:t>
            </w:r>
          </w:p>
        </w:tc>
        <w:tc>
          <w:tcPr>
            <w:tcW w:w="1377" w:type="dxa"/>
            <w:vAlign w:val="center"/>
          </w:tcPr>
          <w:p w14:paraId="764504DB"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7</w:t>
            </w:r>
            <w:r>
              <w:rPr>
                <w:rFonts w:ascii="Times New Roman" w:hAnsi="Times New Roman"/>
                <w:color w:val="000000"/>
                <w:kern w:val="0"/>
                <w:sz w:val="24"/>
              </w:rPr>
              <w:t>月</w:t>
            </w:r>
          </w:p>
          <w:p w14:paraId="50D8423D"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试点推广</w:t>
            </w:r>
          </w:p>
        </w:tc>
      </w:tr>
      <w:tr w:rsidR="00000000" w14:paraId="53200107" w14:textId="77777777">
        <w:trPr>
          <w:cantSplit/>
          <w:trHeight w:val="454"/>
          <w:jc w:val="center"/>
        </w:trPr>
        <w:tc>
          <w:tcPr>
            <w:tcW w:w="619" w:type="dxa"/>
            <w:vAlign w:val="center"/>
          </w:tcPr>
          <w:p w14:paraId="17B3D91F"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hint="eastAsia"/>
                <w:color w:val="000000"/>
                <w:kern w:val="0"/>
                <w:sz w:val="24"/>
              </w:rPr>
              <w:t>90</w:t>
            </w:r>
          </w:p>
        </w:tc>
        <w:tc>
          <w:tcPr>
            <w:tcW w:w="9785" w:type="dxa"/>
            <w:vAlign w:val="center"/>
          </w:tcPr>
          <w:p w14:paraId="699D36E0" w14:textId="77777777" w:rsidR="00000000" w:rsidRDefault="00000000">
            <w:pPr>
              <w:autoSpaceDE w:val="0"/>
              <w:autoSpaceDN w:val="0"/>
              <w:adjustRightInd w:val="0"/>
              <w:spacing w:line="372" w:lineRule="exact"/>
              <w:jc w:val="left"/>
              <w:rPr>
                <w:rFonts w:ascii="Times New Roman" w:hAnsi="Times New Roman"/>
                <w:color w:val="000000"/>
                <w:kern w:val="0"/>
                <w:sz w:val="24"/>
              </w:rPr>
            </w:pPr>
            <w:r>
              <w:rPr>
                <w:rFonts w:ascii="Times New Roman" w:hAnsi="Times New Roman"/>
                <w:color w:val="000000"/>
                <w:kern w:val="0"/>
                <w:sz w:val="24"/>
              </w:rPr>
              <w:t>拓展</w:t>
            </w:r>
            <w:r>
              <w:rPr>
                <w:rFonts w:ascii="宋体" w:hAnsi="宋体"/>
                <w:color w:val="000000"/>
                <w:kern w:val="0"/>
                <w:sz w:val="24"/>
              </w:rPr>
              <w:t>“</w:t>
            </w:r>
            <w:r>
              <w:rPr>
                <w:rFonts w:ascii="Times New Roman" w:hAnsi="Times New Roman"/>
                <w:color w:val="000000"/>
                <w:kern w:val="0"/>
                <w:sz w:val="24"/>
              </w:rPr>
              <w:t>司法</w:t>
            </w:r>
            <w:r>
              <w:rPr>
                <w:rFonts w:ascii="Times New Roman" w:hAnsi="Times New Roman"/>
                <w:color w:val="000000"/>
                <w:kern w:val="0"/>
                <w:sz w:val="24"/>
              </w:rPr>
              <w:t>+</w:t>
            </w:r>
            <w:r>
              <w:rPr>
                <w:rFonts w:ascii="Times New Roman" w:hAnsi="Times New Roman"/>
                <w:color w:val="000000"/>
                <w:kern w:val="0"/>
                <w:sz w:val="24"/>
              </w:rPr>
              <w:t>不动产登记</w:t>
            </w:r>
            <w:r>
              <w:rPr>
                <w:rFonts w:ascii="宋体" w:hAnsi="宋体"/>
                <w:color w:val="000000"/>
                <w:kern w:val="0"/>
                <w:sz w:val="24"/>
              </w:rPr>
              <w:t>”</w:t>
            </w:r>
            <w:r>
              <w:rPr>
                <w:rFonts w:ascii="Times New Roman" w:hAnsi="Times New Roman"/>
                <w:color w:val="000000"/>
                <w:kern w:val="0"/>
                <w:sz w:val="24"/>
              </w:rPr>
              <w:t>服务，加快制定全省首份不动产</w:t>
            </w:r>
            <w:r>
              <w:rPr>
                <w:rFonts w:ascii="宋体" w:hAnsi="宋体"/>
                <w:color w:val="000000"/>
                <w:kern w:val="0"/>
                <w:sz w:val="24"/>
              </w:rPr>
              <w:t>“</w:t>
            </w:r>
            <w:r>
              <w:rPr>
                <w:rFonts w:ascii="Times New Roman" w:hAnsi="Times New Roman"/>
                <w:color w:val="000000"/>
                <w:kern w:val="0"/>
                <w:sz w:val="24"/>
              </w:rPr>
              <w:t>带封过户</w:t>
            </w:r>
            <w:r>
              <w:rPr>
                <w:rFonts w:ascii="宋体" w:hAnsi="宋体"/>
                <w:color w:val="000000"/>
                <w:kern w:val="0"/>
                <w:sz w:val="24"/>
              </w:rPr>
              <w:t>”</w:t>
            </w:r>
            <w:r>
              <w:rPr>
                <w:rFonts w:ascii="Times New Roman" w:hAnsi="Times New Roman"/>
                <w:color w:val="000000"/>
                <w:kern w:val="0"/>
                <w:sz w:val="24"/>
              </w:rPr>
              <w:t>工作方案。</w:t>
            </w:r>
          </w:p>
        </w:tc>
        <w:tc>
          <w:tcPr>
            <w:tcW w:w="1917" w:type="dxa"/>
            <w:vAlign w:val="center"/>
          </w:tcPr>
          <w:p w14:paraId="4F4F2D8E"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市中级人民法院</w:t>
            </w:r>
          </w:p>
        </w:tc>
        <w:tc>
          <w:tcPr>
            <w:tcW w:w="1377" w:type="dxa"/>
            <w:vAlign w:val="center"/>
          </w:tcPr>
          <w:p w14:paraId="2B9375EE"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5</w:t>
            </w:r>
            <w:r>
              <w:rPr>
                <w:rFonts w:ascii="Times New Roman" w:hAnsi="Times New Roman"/>
                <w:color w:val="000000"/>
                <w:kern w:val="0"/>
                <w:sz w:val="24"/>
              </w:rPr>
              <w:t>月</w:t>
            </w:r>
          </w:p>
        </w:tc>
      </w:tr>
      <w:tr w:rsidR="00000000" w14:paraId="6DEAA987" w14:textId="77777777">
        <w:trPr>
          <w:cantSplit/>
          <w:trHeight w:val="454"/>
          <w:jc w:val="center"/>
        </w:trPr>
        <w:tc>
          <w:tcPr>
            <w:tcW w:w="10404" w:type="dxa"/>
            <w:gridSpan w:val="2"/>
            <w:vAlign w:val="center"/>
          </w:tcPr>
          <w:p w14:paraId="0DD45405" w14:textId="77777777" w:rsidR="00000000" w:rsidRDefault="00000000">
            <w:pPr>
              <w:autoSpaceDE w:val="0"/>
              <w:autoSpaceDN w:val="0"/>
              <w:adjustRightInd w:val="0"/>
              <w:spacing w:line="372"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（四十四）优化公用基础设施接入服务。</w:t>
            </w:r>
          </w:p>
        </w:tc>
        <w:tc>
          <w:tcPr>
            <w:tcW w:w="1917" w:type="dxa"/>
            <w:vAlign w:val="center"/>
          </w:tcPr>
          <w:p w14:paraId="25A7FB91" w14:textId="77777777" w:rsidR="00000000" w:rsidRDefault="00000000">
            <w:pPr>
              <w:autoSpaceDE w:val="0"/>
              <w:autoSpaceDN w:val="0"/>
              <w:adjustRightInd w:val="0"/>
              <w:spacing w:line="372" w:lineRule="exact"/>
              <w:jc w:val="left"/>
              <w:rPr>
                <w:rFonts w:ascii="Times New Roman" w:eastAsia="方正楷体简体" w:hAnsi="Times New Roman"/>
                <w:color w:val="000000"/>
                <w:kern w:val="0"/>
                <w:sz w:val="24"/>
              </w:rPr>
            </w:pPr>
          </w:p>
        </w:tc>
        <w:tc>
          <w:tcPr>
            <w:tcW w:w="1377" w:type="dxa"/>
            <w:vAlign w:val="center"/>
          </w:tcPr>
          <w:p w14:paraId="386AA28C" w14:textId="77777777" w:rsidR="00000000" w:rsidRDefault="00000000">
            <w:pPr>
              <w:autoSpaceDE w:val="0"/>
              <w:autoSpaceDN w:val="0"/>
              <w:adjustRightInd w:val="0"/>
              <w:spacing w:line="372" w:lineRule="exact"/>
              <w:jc w:val="left"/>
              <w:rPr>
                <w:rFonts w:ascii="Times New Roman" w:eastAsia="方正楷体简体" w:hAnsi="Times New Roman"/>
                <w:color w:val="000000"/>
                <w:kern w:val="0"/>
                <w:sz w:val="24"/>
              </w:rPr>
            </w:pPr>
          </w:p>
        </w:tc>
      </w:tr>
      <w:tr w:rsidR="00000000" w14:paraId="28516C61" w14:textId="77777777">
        <w:trPr>
          <w:cantSplit/>
          <w:trHeight w:val="454"/>
          <w:jc w:val="center"/>
        </w:trPr>
        <w:tc>
          <w:tcPr>
            <w:tcW w:w="619" w:type="dxa"/>
            <w:vAlign w:val="center"/>
          </w:tcPr>
          <w:p w14:paraId="5E76839F" w14:textId="77777777" w:rsidR="00000000" w:rsidRDefault="00000000">
            <w:pPr>
              <w:autoSpaceDE w:val="0"/>
              <w:autoSpaceDN w:val="0"/>
              <w:adjustRightInd w:val="0"/>
              <w:spacing w:line="372"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91</w:t>
            </w:r>
          </w:p>
        </w:tc>
        <w:tc>
          <w:tcPr>
            <w:tcW w:w="9785" w:type="dxa"/>
            <w:vAlign w:val="center"/>
          </w:tcPr>
          <w:p w14:paraId="03A4540A" w14:textId="77777777" w:rsidR="00000000" w:rsidRDefault="00000000">
            <w:pPr>
              <w:autoSpaceDE w:val="0"/>
              <w:autoSpaceDN w:val="0"/>
              <w:adjustRightInd w:val="0"/>
              <w:spacing w:line="372" w:lineRule="exact"/>
              <w:jc w:val="left"/>
              <w:rPr>
                <w:rFonts w:ascii="Times New Roman" w:hAnsi="Times New Roman"/>
                <w:color w:val="000000"/>
                <w:kern w:val="0"/>
                <w:sz w:val="24"/>
              </w:rPr>
            </w:pPr>
            <w:r>
              <w:rPr>
                <w:rFonts w:ascii="Times New Roman" w:hAnsi="Times New Roman"/>
                <w:color w:val="000000"/>
                <w:kern w:val="0"/>
                <w:sz w:val="24"/>
              </w:rPr>
              <w:t>扩大低压办电</w:t>
            </w:r>
            <w:r>
              <w:rPr>
                <w:rFonts w:ascii="宋体" w:hAnsi="宋体"/>
                <w:color w:val="000000"/>
                <w:kern w:val="0"/>
                <w:sz w:val="24"/>
              </w:rPr>
              <w:t>“</w:t>
            </w:r>
            <w:r>
              <w:rPr>
                <w:rFonts w:ascii="Times New Roman" w:hAnsi="Times New Roman"/>
                <w:color w:val="000000"/>
                <w:kern w:val="0"/>
                <w:sz w:val="24"/>
              </w:rPr>
              <w:t>零投资范围</w:t>
            </w:r>
            <w:r>
              <w:rPr>
                <w:rFonts w:ascii="宋体" w:hAnsi="宋体"/>
                <w:color w:val="000000"/>
                <w:kern w:val="0"/>
                <w:sz w:val="24"/>
              </w:rPr>
              <w:t>”</w:t>
            </w:r>
            <w:r>
              <w:rPr>
                <w:rFonts w:ascii="Times New Roman" w:hAnsi="Times New Roman"/>
                <w:color w:val="000000"/>
                <w:kern w:val="0"/>
                <w:sz w:val="24"/>
              </w:rPr>
              <w:t>，在中国（安徽）自由贸易试验区蚌埠片区等区域的低压接入容量上限提升至</w:t>
            </w:r>
            <w:r>
              <w:rPr>
                <w:rFonts w:ascii="Times New Roman" w:hAnsi="Times New Roman"/>
                <w:color w:val="000000"/>
                <w:kern w:val="0"/>
                <w:sz w:val="24"/>
              </w:rPr>
              <w:t>200</w:t>
            </w:r>
            <w:r>
              <w:rPr>
                <w:rFonts w:ascii="Times New Roman" w:hAnsi="Times New Roman"/>
                <w:color w:val="000000"/>
                <w:kern w:val="0"/>
                <w:sz w:val="24"/>
              </w:rPr>
              <w:t>千瓦实践基础上，拓展有条件的区域实施。优化居民电动汽车充（换）电设施用电报装服务，对接住建等部门，在有条件的地方推行</w:t>
            </w:r>
            <w:r>
              <w:rPr>
                <w:rFonts w:ascii="宋体" w:hAnsi="宋体"/>
                <w:color w:val="000000"/>
                <w:kern w:val="0"/>
                <w:sz w:val="24"/>
              </w:rPr>
              <w:t>“</w:t>
            </w:r>
            <w:r>
              <w:rPr>
                <w:rFonts w:ascii="Times New Roman" w:hAnsi="Times New Roman"/>
                <w:color w:val="000000"/>
                <w:kern w:val="0"/>
                <w:sz w:val="24"/>
              </w:rPr>
              <w:t>一小区一证明</w:t>
            </w:r>
            <w:r>
              <w:rPr>
                <w:rFonts w:ascii="宋体" w:hAnsi="宋体"/>
                <w:color w:val="000000"/>
                <w:kern w:val="0"/>
                <w:sz w:val="24"/>
              </w:rPr>
              <w:t>”</w:t>
            </w:r>
            <w:r>
              <w:rPr>
                <w:rFonts w:ascii="Times New Roman" w:hAnsi="Times New Roman"/>
                <w:color w:val="000000"/>
                <w:kern w:val="0"/>
                <w:sz w:val="24"/>
              </w:rPr>
              <w:t>。</w:t>
            </w:r>
          </w:p>
        </w:tc>
        <w:tc>
          <w:tcPr>
            <w:tcW w:w="1917" w:type="dxa"/>
            <w:vAlign w:val="center"/>
          </w:tcPr>
          <w:p w14:paraId="5238BEFA"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市供电公司</w:t>
            </w:r>
          </w:p>
        </w:tc>
        <w:tc>
          <w:tcPr>
            <w:tcW w:w="1377" w:type="dxa"/>
            <w:vAlign w:val="center"/>
          </w:tcPr>
          <w:p w14:paraId="66035143" w14:textId="77777777" w:rsidR="00000000" w:rsidRDefault="00000000">
            <w:pPr>
              <w:autoSpaceDE w:val="0"/>
              <w:autoSpaceDN w:val="0"/>
              <w:adjustRightInd w:val="0"/>
              <w:spacing w:line="372"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6C86C3A0" w14:textId="77777777">
        <w:trPr>
          <w:cantSplit/>
          <w:trHeight w:val="454"/>
          <w:jc w:val="center"/>
        </w:trPr>
        <w:tc>
          <w:tcPr>
            <w:tcW w:w="619" w:type="dxa"/>
            <w:vAlign w:val="center"/>
          </w:tcPr>
          <w:p w14:paraId="56B79470"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lastRenderedPageBreak/>
              <w:t>92</w:t>
            </w:r>
          </w:p>
        </w:tc>
        <w:tc>
          <w:tcPr>
            <w:tcW w:w="9785" w:type="dxa"/>
            <w:vAlign w:val="center"/>
          </w:tcPr>
          <w:p w14:paraId="5BC6664D"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在部分区域试点建设共享电表，通过</w:t>
            </w:r>
            <w:r>
              <w:rPr>
                <w:rFonts w:ascii="宋体" w:hAnsi="宋体"/>
                <w:color w:val="000000"/>
                <w:kern w:val="0"/>
                <w:sz w:val="24"/>
              </w:rPr>
              <w:t>“</w:t>
            </w:r>
            <w:r>
              <w:rPr>
                <w:rFonts w:ascii="Times New Roman" w:hAnsi="Times New Roman"/>
                <w:color w:val="000000"/>
                <w:kern w:val="0"/>
                <w:sz w:val="24"/>
              </w:rPr>
              <w:t>扫码用电</w:t>
            </w:r>
            <w:r>
              <w:rPr>
                <w:rFonts w:ascii="宋体" w:hAnsi="宋体"/>
                <w:color w:val="000000"/>
                <w:kern w:val="0"/>
                <w:sz w:val="24"/>
              </w:rPr>
              <w:t>”</w:t>
            </w:r>
            <w:r>
              <w:rPr>
                <w:rFonts w:ascii="Times New Roman" w:hAnsi="Times New Roman"/>
                <w:color w:val="000000"/>
                <w:kern w:val="0"/>
                <w:sz w:val="24"/>
              </w:rPr>
              <w:t>等模式，服务春灌秋收、地摊夜市等季节性、灵活性用电场景，提供免报装、快用电服务。拓展电能监测、能效诊断、能效咨询等</w:t>
            </w:r>
            <w:r>
              <w:rPr>
                <w:rFonts w:ascii="宋体" w:hAnsi="宋体"/>
                <w:color w:val="000000"/>
                <w:kern w:val="0"/>
                <w:sz w:val="24"/>
              </w:rPr>
              <w:t>“</w:t>
            </w:r>
            <w:r>
              <w:rPr>
                <w:rFonts w:ascii="Times New Roman" w:hAnsi="Times New Roman"/>
                <w:color w:val="000000"/>
                <w:kern w:val="0"/>
                <w:sz w:val="24"/>
              </w:rPr>
              <w:t>供电</w:t>
            </w:r>
            <w:r>
              <w:rPr>
                <w:rFonts w:ascii="Times New Roman" w:hAnsi="Times New Roman"/>
                <w:color w:val="000000"/>
                <w:kern w:val="0"/>
                <w:sz w:val="24"/>
              </w:rPr>
              <w:t>+</w:t>
            </w:r>
            <w:r>
              <w:rPr>
                <w:rFonts w:ascii="Times New Roman" w:hAnsi="Times New Roman"/>
                <w:color w:val="000000"/>
                <w:kern w:val="0"/>
                <w:sz w:val="24"/>
              </w:rPr>
              <w:t>能效</w:t>
            </w:r>
            <w:r>
              <w:rPr>
                <w:rFonts w:ascii="宋体" w:hAnsi="宋体"/>
                <w:color w:val="000000"/>
                <w:kern w:val="0"/>
                <w:sz w:val="24"/>
              </w:rPr>
              <w:t>”</w:t>
            </w:r>
            <w:r>
              <w:rPr>
                <w:rFonts w:ascii="Times New Roman" w:hAnsi="Times New Roman"/>
                <w:color w:val="000000"/>
                <w:kern w:val="0"/>
                <w:sz w:val="24"/>
              </w:rPr>
              <w:t>延伸服务。结合用户需求，提供用能结构优化与节能建议，定期推送能效账单、综合能效诊断报告，按需提供现场解读服务。</w:t>
            </w:r>
          </w:p>
        </w:tc>
        <w:tc>
          <w:tcPr>
            <w:tcW w:w="1917" w:type="dxa"/>
            <w:vAlign w:val="center"/>
          </w:tcPr>
          <w:p w14:paraId="654F7B1A"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市供电公司</w:t>
            </w:r>
          </w:p>
        </w:tc>
        <w:tc>
          <w:tcPr>
            <w:tcW w:w="1377" w:type="dxa"/>
            <w:vAlign w:val="center"/>
          </w:tcPr>
          <w:p w14:paraId="35327A33"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12B75EF" w14:textId="77777777">
        <w:trPr>
          <w:cantSplit/>
          <w:trHeight w:val="454"/>
          <w:jc w:val="center"/>
        </w:trPr>
        <w:tc>
          <w:tcPr>
            <w:tcW w:w="619" w:type="dxa"/>
            <w:vAlign w:val="center"/>
          </w:tcPr>
          <w:p w14:paraId="090BCDCF"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93</w:t>
            </w:r>
          </w:p>
        </w:tc>
        <w:tc>
          <w:tcPr>
            <w:tcW w:w="9785" w:type="dxa"/>
            <w:vAlign w:val="center"/>
          </w:tcPr>
          <w:p w14:paraId="24E33B45"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保障运营商通行权，提高共建共享水平，推进园区、商务楼宇、城市核心区等场景移动网络共同覆盖，保障企业自主选择宽带资源接入。</w:t>
            </w:r>
          </w:p>
        </w:tc>
        <w:tc>
          <w:tcPr>
            <w:tcW w:w="1917" w:type="dxa"/>
            <w:vAlign w:val="center"/>
          </w:tcPr>
          <w:p w14:paraId="3C657AF7"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市工信局</w:t>
            </w:r>
          </w:p>
        </w:tc>
        <w:tc>
          <w:tcPr>
            <w:tcW w:w="1377" w:type="dxa"/>
            <w:vAlign w:val="center"/>
          </w:tcPr>
          <w:p w14:paraId="1C2B38B7"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03E19C2" w14:textId="77777777">
        <w:trPr>
          <w:cantSplit/>
          <w:trHeight w:val="454"/>
          <w:jc w:val="center"/>
        </w:trPr>
        <w:tc>
          <w:tcPr>
            <w:tcW w:w="10404" w:type="dxa"/>
            <w:gridSpan w:val="2"/>
            <w:vAlign w:val="center"/>
          </w:tcPr>
          <w:p w14:paraId="3B58272B"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（四十五）提升市政公用服务可靠性。</w:t>
            </w:r>
          </w:p>
        </w:tc>
        <w:tc>
          <w:tcPr>
            <w:tcW w:w="1917" w:type="dxa"/>
            <w:vAlign w:val="center"/>
          </w:tcPr>
          <w:p w14:paraId="3FE37231"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13A085EA"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33ACAE57" w14:textId="77777777">
        <w:trPr>
          <w:cantSplit/>
          <w:trHeight w:val="454"/>
          <w:jc w:val="center"/>
        </w:trPr>
        <w:tc>
          <w:tcPr>
            <w:tcW w:w="619" w:type="dxa"/>
            <w:vAlign w:val="center"/>
          </w:tcPr>
          <w:p w14:paraId="396EE059"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94</w:t>
            </w:r>
          </w:p>
        </w:tc>
        <w:tc>
          <w:tcPr>
            <w:tcW w:w="9785" w:type="dxa"/>
            <w:vAlign w:val="center"/>
          </w:tcPr>
          <w:p w14:paraId="6DA18B00"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加强供水供气可靠性监测，对市区天然气管网、供水管网实施远程智能监控，及时处置突发问题。推进老旧小区管网改造，</w:t>
            </w:r>
            <w:r>
              <w:rPr>
                <w:rFonts w:ascii="Times New Roman" w:hAnsi="Times New Roman"/>
                <w:color w:val="000000"/>
                <w:kern w:val="0"/>
                <w:sz w:val="24"/>
              </w:rPr>
              <w:t>2025</w:t>
            </w:r>
            <w:r>
              <w:rPr>
                <w:rFonts w:ascii="Times New Roman" w:hAnsi="Times New Roman"/>
                <w:color w:val="000000"/>
                <w:kern w:val="0"/>
                <w:sz w:val="24"/>
              </w:rPr>
              <w:t>年改造市区燃气管网</w:t>
            </w:r>
            <w:r>
              <w:rPr>
                <w:rFonts w:ascii="Times New Roman" w:hAnsi="Times New Roman"/>
                <w:color w:val="000000"/>
                <w:kern w:val="0"/>
                <w:sz w:val="24"/>
              </w:rPr>
              <w:t>234.5</w:t>
            </w:r>
            <w:r>
              <w:rPr>
                <w:rFonts w:ascii="Times New Roman" w:hAnsi="Times New Roman"/>
                <w:color w:val="000000"/>
                <w:kern w:val="0"/>
                <w:sz w:val="24"/>
              </w:rPr>
              <w:t>公里。停水停气（恢复供水供气）信息按要求公开。实现市区天然气中压管网维护不停气，用户支管施工作业不停水，避免对用户产生影响。</w:t>
            </w:r>
          </w:p>
        </w:tc>
        <w:tc>
          <w:tcPr>
            <w:tcW w:w="1917" w:type="dxa"/>
            <w:vAlign w:val="center"/>
          </w:tcPr>
          <w:p w14:paraId="695E6294"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市城管局</w:t>
            </w:r>
          </w:p>
        </w:tc>
        <w:tc>
          <w:tcPr>
            <w:tcW w:w="1377" w:type="dxa"/>
            <w:vAlign w:val="center"/>
          </w:tcPr>
          <w:p w14:paraId="64F8B10A"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12</w:t>
            </w:r>
            <w:r>
              <w:rPr>
                <w:rFonts w:ascii="Times New Roman" w:hAnsi="Times New Roman"/>
                <w:color w:val="000000"/>
                <w:kern w:val="0"/>
                <w:sz w:val="24"/>
              </w:rPr>
              <w:t>月</w:t>
            </w:r>
          </w:p>
        </w:tc>
      </w:tr>
      <w:tr w:rsidR="00000000" w14:paraId="1314D893" w14:textId="77777777">
        <w:trPr>
          <w:cantSplit/>
          <w:trHeight w:val="454"/>
          <w:jc w:val="center"/>
        </w:trPr>
        <w:tc>
          <w:tcPr>
            <w:tcW w:w="619" w:type="dxa"/>
            <w:vAlign w:val="center"/>
          </w:tcPr>
          <w:p w14:paraId="02A9140E"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95</w:t>
            </w:r>
          </w:p>
        </w:tc>
        <w:tc>
          <w:tcPr>
            <w:tcW w:w="9785" w:type="dxa"/>
            <w:vAlign w:val="center"/>
          </w:tcPr>
          <w:p w14:paraId="2B730566"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强化供电基础设施建设，城网、农网用户年平均停电时间分别不超过</w:t>
            </w:r>
            <w:r>
              <w:rPr>
                <w:rFonts w:ascii="Times New Roman" w:hAnsi="Times New Roman"/>
                <w:color w:val="000000"/>
                <w:kern w:val="0"/>
                <w:sz w:val="24"/>
              </w:rPr>
              <w:t>1.05</w:t>
            </w:r>
            <w:r>
              <w:rPr>
                <w:rFonts w:ascii="Times New Roman" w:hAnsi="Times New Roman"/>
                <w:color w:val="000000"/>
                <w:kern w:val="0"/>
                <w:sz w:val="24"/>
              </w:rPr>
              <w:t>小时、</w:t>
            </w:r>
            <w:r>
              <w:rPr>
                <w:rFonts w:ascii="Times New Roman" w:hAnsi="Times New Roman"/>
                <w:color w:val="000000"/>
                <w:kern w:val="0"/>
                <w:sz w:val="24"/>
              </w:rPr>
              <w:t>2.63</w:t>
            </w:r>
            <w:r>
              <w:rPr>
                <w:rFonts w:ascii="Times New Roman" w:hAnsi="Times New Roman"/>
                <w:color w:val="000000"/>
                <w:kern w:val="0"/>
                <w:sz w:val="24"/>
              </w:rPr>
              <w:t>小时。</w:t>
            </w:r>
          </w:p>
        </w:tc>
        <w:tc>
          <w:tcPr>
            <w:tcW w:w="1917" w:type="dxa"/>
            <w:vAlign w:val="center"/>
          </w:tcPr>
          <w:p w14:paraId="76A2E94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市供电公司</w:t>
            </w:r>
          </w:p>
        </w:tc>
        <w:tc>
          <w:tcPr>
            <w:tcW w:w="1377" w:type="dxa"/>
            <w:vAlign w:val="center"/>
          </w:tcPr>
          <w:p w14:paraId="62DB533B"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DA8A170" w14:textId="77777777">
        <w:trPr>
          <w:cantSplit/>
          <w:trHeight w:val="454"/>
          <w:jc w:val="center"/>
        </w:trPr>
        <w:tc>
          <w:tcPr>
            <w:tcW w:w="619" w:type="dxa"/>
            <w:vAlign w:val="center"/>
          </w:tcPr>
          <w:p w14:paraId="21C54696"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96</w:t>
            </w:r>
          </w:p>
        </w:tc>
        <w:tc>
          <w:tcPr>
            <w:tcW w:w="9785" w:type="dxa"/>
            <w:vAlign w:val="center"/>
          </w:tcPr>
          <w:p w14:paraId="2831B166"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对符合我市产业发展要求的招商引资企业免收红线内燃气设施和工程安装费用，实现市区燃气接入工程红线内外</w:t>
            </w:r>
            <w:r>
              <w:rPr>
                <w:rFonts w:ascii="宋体" w:hAnsi="宋体"/>
                <w:color w:val="000000"/>
                <w:kern w:val="0"/>
                <w:sz w:val="24"/>
              </w:rPr>
              <w:t>“</w:t>
            </w:r>
            <w:r>
              <w:rPr>
                <w:rFonts w:ascii="Times New Roman" w:hAnsi="Times New Roman"/>
                <w:color w:val="000000"/>
                <w:kern w:val="0"/>
                <w:sz w:val="24"/>
              </w:rPr>
              <w:t>零收费</w:t>
            </w:r>
            <w:r>
              <w:rPr>
                <w:rFonts w:ascii="宋体" w:hAnsi="宋体"/>
                <w:color w:val="000000"/>
                <w:kern w:val="0"/>
                <w:sz w:val="24"/>
              </w:rPr>
              <w:t>”</w:t>
            </w:r>
            <w:r>
              <w:rPr>
                <w:rFonts w:ascii="Times New Roman" w:hAnsi="Times New Roman"/>
                <w:color w:val="000000"/>
                <w:kern w:val="0"/>
                <w:sz w:val="24"/>
              </w:rPr>
              <w:t>。</w:t>
            </w:r>
          </w:p>
        </w:tc>
        <w:tc>
          <w:tcPr>
            <w:tcW w:w="1917" w:type="dxa"/>
            <w:vAlign w:val="center"/>
          </w:tcPr>
          <w:p w14:paraId="156F65C8"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市城管局</w:t>
            </w:r>
          </w:p>
        </w:tc>
        <w:tc>
          <w:tcPr>
            <w:tcW w:w="1377" w:type="dxa"/>
            <w:vAlign w:val="center"/>
          </w:tcPr>
          <w:p w14:paraId="6DA06752"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0B3F512B" w14:textId="77777777">
        <w:trPr>
          <w:cantSplit/>
          <w:trHeight w:val="454"/>
          <w:jc w:val="center"/>
        </w:trPr>
        <w:tc>
          <w:tcPr>
            <w:tcW w:w="10404" w:type="dxa"/>
            <w:gridSpan w:val="2"/>
            <w:vAlign w:val="center"/>
          </w:tcPr>
          <w:p w14:paraId="094607DA"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（四十六）规范行政审批等中介服务。</w:t>
            </w:r>
          </w:p>
        </w:tc>
        <w:tc>
          <w:tcPr>
            <w:tcW w:w="1917" w:type="dxa"/>
            <w:vAlign w:val="center"/>
          </w:tcPr>
          <w:p w14:paraId="5EA7F895"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6CF8436B"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2A01D837" w14:textId="77777777">
        <w:trPr>
          <w:cantSplit/>
          <w:trHeight w:val="454"/>
          <w:jc w:val="center"/>
        </w:trPr>
        <w:tc>
          <w:tcPr>
            <w:tcW w:w="619" w:type="dxa"/>
            <w:vAlign w:val="center"/>
          </w:tcPr>
          <w:p w14:paraId="17198450"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97</w:t>
            </w:r>
          </w:p>
        </w:tc>
        <w:tc>
          <w:tcPr>
            <w:tcW w:w="9785" w:type="dxa"/>
            <w:vAlign w:val="center"/>
          </w:tcPr>
          <w:p w14:paraId="48F5B28D"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贯彻落实全省行政权力中介服务清单，动态调整蚌埠市市级行政权力中介服务清单，通过蚌埠市人民政府网等平台及时更新发布。对没有法律法规或者国务院决定为依据的中介服务事项全部取消。</w:t>
            </w:r>
          </w:p>
        </w:tc>
        <w:tc>
          <w:tcPr>
            <w:tcW w:w="1917" w:type="dxa"/>
            <w:vAlign w:val="center"/>
          </w:tcPr>
          <w:p w14:paraId="14CF9BA0"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市委编办</w:t>
            </w:r>
          </w:p>
        </w:tc>
        <w:tc>
          <w:tcPr>
            <w:tcW w:w="1377" w:type="dxa"/>
            <w:vAlign w:val="center"/>
          </w:tcPr>
          <w:p w14:paraId="7B91F8C7"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4FD262C7" w14:textId="77777777">
        <w:trPr>
          <w:cantSplit/>
          <w:trHeight w:val="454"/>
          <w:jc w:val="center"/>
        </w:trPr>
        <w:tc>
          <w:tcPr>
            <w:tcW w:w="619" w:type="dxa"/>
            <w:vAlign w:val="center"/>
          </w:tcPr>
          <w:p w14:paraId="23D07B7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lastRenderedPageBreak/>
              <w:t>98</w:t>
            </w:r>
          </w:p>
        </w:tc>
        <w:tc>
          <w:tcPr>
            <w:tcW w:w="9785" w:type="dxa"/>
            <w:vAlign w:val="center"/>
          </w:tcPr>
          <w:p w14:paraId="101C6024"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加强中介服务机构及从业人员执业全过程监管，促进依法诚信服务履责，加大对违规收费、弄虚作假、市场垄断、</w:t>
            </w:r>
            <w:r>
              <w:rPr>
                <w:rFonts w:ascii="宋体" w:hAnsi="宋体"/>
                <w:color w:val="000000"/>
                <w:kern w:val="0"/>
                <w:sz w:val="24"/>
              </w:rPr>
              <w:t>“</w:t>
            </w:r>
            <w:r>
              <w:rPr>
                <w:rFonts w:ascii="Times New Roman" w:hAnsi="Times New Roman"/>
                <w:color w:val="000000"/>
                <w:kern w:val="0"/>
                <w:sz w:val="24"/>
              </w:rPr>
              <w:t>红顶中介</w:t>
            </w:r>
            <w:r>
              <w:rPr>
                <w:rFonts w:ascii="宋体" w:hAnsi="宋体"/>
                <w:color w:val="000000"/>
                <w:kern w:val="0"/>
                <w:sz w:val="24"/>
              </w:rPr>
              <w:t>”</w:t>
            </w:r>
            <w:r>
              <w:rPr>
                <w:rFonts w:ascii="Times New Roman" w:hAnsi="Times New Roman"/>
                <w:color w:val="000000"/>
                <w:kern w:val="0"/>
                <w:sz w:val="24"/>
              </w:rPr>
              <w:t>等违法违规行为的查处力度。</w:t>
            </w:r>
          </w:p>
        </w:tc>
        <w:tc>
          <w:tcPr>
            <w:tcW w:w="1917" w:type="dxa"/>
            <w:vAlign w:val="center"/>
          </w:tcPr>
          <w:p w14:paraId="2BA1007F"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各行业主管部门</w:t>
            </w:r>
          </w:p>
        </w:tc>
        <w:tc>
          <w:tcPr>
            <w:tcW w:w="1377" w:type="dxa"/>
            <w:vAlign w:val="center"/>
          </w:tcPr>
          <w:p w14:paraId="5A9CE38C"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3455FCFB" w14:textId="77777777">
        <w:trPr>
          <w:cantSplit/>
          <w:trHeight w:val="454"/>
          <w:jc w:val="center"/>
        </w:trPr>
        <w:tc>
          <w:tcPr>
            <w:tcW w:w="619" w:type="dxa"/>
            <w:vAlign w:val="center"/>
          </w:tcPr>
          <w:p w14:paraId="55243BDE"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99</w:t>
            </w:r>
          </w:p>
        </w:tc>
        <w:tc>
          <w:tcPr>
            <w:tcW w:w="9785" w:type="dxa"/>
            <w:vAlign w:val="center"/>
          </w:tcPr>
          <w:p w14:paraId="6A1989BD"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持续完善全省首个</w:t>
            </w:r>
            <w:r>
              <w:rPr>
                <w:rFonts w:ascii="宋体" w:hAnsi="宋体"/>
                <w:color w:val="000000"/>
                <w:kern w:val="0"/>
                <w:sz w:val="24"/>
              </w:rPr>
              <w:t>“</w:t>
            </w:r>
            <w:r>
              <w:rPr>
                <w:rFonts w:ascii="Times New Roman" w:hAnsi="Times New Roman"/>
                <w:color w:val="000000"/>
                <w:kern w:val="0"/>
                <w:sz w:val="24"/>
              </w:rPr>
              <w:t>全领域</w:t>
            </w:r>
            <w:r>
              <w:rPr>
                <w:rFonts w:ascii="宋体" w:hAnsi="宋体"/>
                <w:color w:val="000000"/>
                <w:kern w:val="0"/>
                <w:sz w:val="24"/>
              </w:rPr>
              <w:t>”</w:t>
            </w:r>
            <w:r>
              <w:rPr>
                <w:rFonts w:ascii="Times New Roman" w:hAnsi="Times New Roman"/>
                <w:color w:val="000000"/>
                <w:kern w:val="0"/>
                <w:sz w:val="24"/>
              </w:rPr>
              <w:t>环保中介服务超市工作模式，强化审批事前服务，助推项目安全快速落地。</w:t>
            </w:r>
          </w:p>
        </w:tc>
        <w:tc>
          <w:tcPr>
            <w:tcW w:w="1917" w:type="dxa"/>
            <w:vAlign w:val="center"/>
          </w:tcPr>
          <w:p w14:paraId="70C60C8C"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市生态环境局</w:t>
            </w:r>
          </w:p>
        </w:tc>
        <w:tc>
          <w:tcPr>
            <w:tcW w:w="1377" w:type="dxa"/>
            <w:vAlign w:val="center"/>
          </w:tcPr>
          <w:p w14:paraId="78DC3E7B"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50FBD14" w14:textId="77777777">
        <w:trPr>
          <w:cantSplit/>
          <w:trHeight w:val="454"/>
          <w:jc w:val="center"/>
        </w:trPr>
        <w:tc>
          <w:tcPr>
            <w:tcW w:w="10404" w:type="dxa"/>
            <w:gridSpan w:val="2"/>
            <w:vAlign w:val="center"/>
          </w:tcPr>
          <w:p w14:paraId="61D6EC3E"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（四十七）推动知识产权服务赋能企业创新发展。</w:t>
            </w:r>
          </w:p>
        </w:tc>
        <w:tc>
          <w:tcPr>
            <w:tcW w:w="1917" w:type="dxa"/>
            <w:vAlign w:val="center"/>
          </w:tcPr>
          <w:p w14:paraId="0D31F62C"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50BD9BD3"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3998B887" w14:textId="77777777">
        <w:trPr>
          <w:cantSplit/>
          <w:trHeight w:val="454"/>
          <w:jc w:val="center"/>
        </w:trPr>
        <w:tc>
          <w:tcPr>
            <w:tcW w:w="619" w:type="dxa"/>
            <w:vAlign w:val="center"/>
          </w:tcPr>
          <w:p w14:paraId="17D5706D"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100</w:t>
            </w:r>
          </w:p>
        </w:tc>
        <w:tc>
          <w:tcPr>
            <w:tcW w:w="9785" w:type="dxa"/>
            <w:vAlign w:val="center"/>
          </w:tcPr>
          <w:p w14:paraId="7246B600"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开展知识产权公共服务惠企对接行动，聚焦重点产业发展加强服务保障，鼓励知识产权公共服务机构开展知识产权战略咨询和风险预警、产业发展分析、行业规划研究等服务。加强县、区知识产权公共服务节点建设。</w:t>
            </w:r>
          </w:p>
        </w:tc>
        <w:tc>
          <w:tcPr>
            <w:tcW w:w="1917" w:type="dxa"/>
            <w:vAlign w:val="center"/>
          </w:tcPr>
          <w:p w14:paraId="1DC104E1"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10E4EE5A"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12</w:t>
            </w:r>
            <w:r>
              <w:rPr>
                <w:rFonts w:ascii="Times New Roman" w:hAnsi="Times New Roman"/>
                <w:color w:val="000000"/>
                <w:kern w:val="0"/>
                <w:sz w:val="24"/>
              </w:rPr>
              <w:t>月</w:t>
            </w:r>
          </w:p>
        </w:tc>
      </w:tr>
      <w:tr w:rsidR="00000000" w14:paraId="317C23D1" w14:textId="77777777">
        <w:trPr>
          <w:cantSplit/>
          <w:trHeight w:val="454"/>
          <w:jc w:val="center"/>
        </w:trPr>
        <w:tc>
          <w:tcPr>
            <w:tcW w:w="619" w:type="dxa"/>
            <w:vAlign w:val="center"/>
          </w:tcPr>
          <w:p w14:paraId="32EBF7F9"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101</w:t>
            </w:r>
          </w:p>
        </w:tc>
        <w:tc>
          <w:tcPr>
            <w:tcW w:w="9785" w:type="dxa"/>
            <w:vAlign w:val="center"/>
          </w:tcPr>
          <w:p w14:paraId="2194D8A3"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制定《蚌埠市企业知识产权管理标准化工程实施方案（</w:t>
            </w:r>
            <w:r>
              <w:rPr>
                <w:rFonts w:ascii="Times New Roman" w:hAnsi="Times New Roman"/>
                <w:color w:val="000000"/>
                <w:kern w:val="0"/>
                <w:sz w:val="24"/>
              </w:rPr>
              <w:t>2025-2027</w:t>
            </w:r>
            <w:r>
              <w:rPr>
                <w:rFonts w:ascii="Times New Roman" w:hAnsi="Times New Roman"/>
                <w:color w:val="000000"/>
                <w:kern w:val="0"/>
                <w:sz w:val="24"/>
              </w:rPr>
              <w:t>）》，组建知识产权服务业联盟，引导企业建立知识产权合规管理体系，推动企业知识产权核心竞争力进一步提升。</w:t>
            </w:r>
          </w:p>
        </w:tc>
        <w:tc>
          <w:tcPr>
            <w:tcW w:w="1917" w:type="dxa"/>
            <w:vAlign w:val="center"/>
          </w:tcPr>
          <w:p w14:paraId="66479C23"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市市场监管局</w:t>
            </w:r>
          </w:p>
        </w:tc>
        <w:tc>
          <w:tcPr>
            <w:tcW w:w="1377" w:type="dxa"/>
            <w:vAlign w:val="center"/>
          </w:tcPr>
          <w:p w14:paraId="643DCA06"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2025</w:t>
            </w:r>
            <w:r>
              <w:rPr>
                <w:rFonts w:ascii="Times New Roman" w:hAnsi="Times New Roman"/>
                <w:color w:val="000000"/>
                <w:kern w:val="0"/>
                <w:sz w:val="24"/>
              </w:rPr>
              <w:t>年</w:t>
            </w:r>
            <w:r>
              <w:rPr>
                <w:rFonts w:ascii="Times New Roman" w:hAnsi="Times New Roman"/>
                <w:color w:val="000000"/>
                <w:kern w:val="0"/>
                <w:sz w:val="24"/>
              </w:rPr>
              <w:t>12</w:t>
            </w:r>
            <w:r>
              <w:rPr>
                <w:rFonts w:ascii="Times New Roman" w:hAnsi="Times New Roman"/>
                <w:color w:val="000000"/>
                <w:kern w:val="0"/>
                <w:sz w:val="24"/>
              </w:rPr>
              <w:t>月</w:t>
            </w:r>
          </w:p>
        </w:tc>
      </w:tr>
      <w:tr w:rsidR="00000000" w14:paraId="52905FA3" w14:textId="77777777">
        <w:trPr>
          <w:cantSplit/>
          <w:trHeight w:val="454"/>
          <w:jc w:val="center"/>
        </w:trPr>
        <w:tc>
          <w:tcPr>
            <w:tcW w:w="10404" w:type="dxa"/>
            <w:gridSpan w:val="2"/>
            <w:vAlign w:val="center"/>
          </w:tcPr>
          <w:p w14:paraId="0276E863"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r>
              <w:rPr>
                <w:rFonts w:ascii="Times New Roman" w:eastAsia="方正楷体简体" w:hAnsi="Times New Roman"/>
                <w:color w:val="000000"/>
                <w:kern w:val="0"/>
                <w:sz w:val="24"/>
              </w:rPr>
              <w:t>（四十八）推进产业营商环境一体优化。</w:t>
            </w:r>
          </w:p>
        </w:tc>
        <w:tc>
          <w:tcPr>
            <w:tcW w:w="1917" w:type="dxa"/>
            <w:vAlign w:val="center"/>
          </w:tcPr>
          <w:p w14:paraId="26BDE12D"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c>
          <w:tcPr>
            <w:tcW w:w="1377" w:type="dxa"/>
            <w:vAlign w:val="center"/>
          </w:tcPr>
          <w:p w14:paraId="5D745291" w14:textId="77777777" w:rsidR="00000000" w:rsidRDefault="00000000">
            <w:pPr>
              <w:autoSpaceDE w:val="0"/>
              <w:autoSpaceDN w:val="0"/>
              <w:adjustRightInd w:val="0"/>
              <w:spacing w:line="360" w:lineRule="exact"/>
              <w:jc w:val="left"/>
              <w:rPr>
                <w:rFonts w:ascii="Times New Roman" w:eastAsia="方正楷体简体" w:hAnsi="Times New Roman"/>
                <w:color w:val="000000"/>
                <w:kern w:val="0"/>
                <w:sz w:val="24"/>
              </w:rPr>
            </w:pPr>
          </w:p>
        </w:tc>
      </w:tr>
      <w:tr w:rsidR="00000000" w14:paraId="0982C588" w14:textId="77777777">
        <w:trPr>
          <w:cantSplit/>
          <w:trHeight w:val="454"/>
          <w:jc w:val="center"/>
        </w:trPr>
        <w:tc>
          <w:tcPr>
            <w:tcW w:w="619" w:type="dxa"/>
            <w:vAlign w:val="center"/>
          </w:tcPr>
          <w:p w14:paraId="07B1DDB0" w14:textId="77777777" w:rsidR="00000000" w:rsidRDefault="00000000">
            <w:pPr>
              <w:autoSpaceDE w:val="0"/>
              <w:autoSpaceDN w:val="0"/>
              <w:adjustRightInd w:val="0"/>
              <w:spacing w:line="360" w:lineRule="exact"/>
              <w:jc w:val="center"/>
              <w:rPr>
                <w:rFonts w:ascii="Times New Roman" w:eastAsia="方正楷体简体" w:hAnsi="Times New Roman"/>
                <w:color w:val="000000"/>
                <w:kern w:val="0"/>
                <w:sz w:val="24"/>
              </w:rPr>
            </w:pPr>
            <w:r>
              <w:rPr>
                <w:rFonts w:ascii="Times New Roman" w:eastAsia="方正楷体简体" w:hAnsi="Times New Roman" w:hint="eastAsia"/>
                <w:color w:val="000000"/>
                <w:kern w:val="0"/>
                <w:sz w:val="24"/>
              </w:rPr>
              <w:t>102</w:t>
            </w:r>
          </w:p>
        </w:tc>
        <w:tc>
          <w:tcPr>
            <w:tcW w:w="9785" w:type="dxa"/>
            <w:vAlign w:val="center"/>
          </w:tcPr>
          <w:p w14:paraId="4D926AE0"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围绕省新兴产业发展需求，</w:t>
            </w:r>
            <w:r>
              <w:rPr>
                <w:rFonts w:ascii="宋体" w:hAnsi="宋体"/>
                <w:color w:val="000000"/>
                <w:kern w:val="0"/>
                <w:sz w:val="24"/>
              </w:rPr>
              <w:t>“</w:t>
            </w:r>
            <w:r>
              <w:rPr>
                <w:rFonts w:ascii="Times New Roman" w:hAnsi="Times New Roman"/>
                <w:color w:val="000000"/>
                <w:kern w:val="0"/>
                <w:sz w:val="24"/>
              </w:rPr>
              <w:t>因业施策</w:t>
            </w:r>
            <w:r>
              <w:rPr>
                <w:rFonts w:ascii="宋体" w:hAnsi="宋体"/>
                <w:color w:val="000000"/>
                <w:kern w:val="0"/>
                <w:sz w:val="24"/>
              </w:rPr>
              <w:t>”</w:t>
            </w:r>
            <w:r>
              <w:rPr>
                <w:rFonts w:ascii="Times New Roman" w:hAnsi="Times New Roman"/>
                <w:color w:val="000000"/>
                <w:kern w:val="0"/>
                <w:sz w:val="24"/>
              </w:rPr>
              <w:t>探索优化产业营商环境，促进新兴产业融合集群发展。鼓励蚌埠高新技术产业开发区围绕产业定位，研究制订园区营商环境建设服务导则推进要素保障、场景应用、监管服务等集成创新。</w:t>
            </w:r>
          </w:p>
        </w:tc>
        <w:tc>
          <w:tcPr>
            <w:tcW w:w="1917" w:type="dxa"/>
            <w:vAlign w:val="center"/>
          </w:tcPr>
          <w:p w14:paraId="051AE739"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市发展改革委、</w:t>
            </w:r>
          </w:p>
          <w:p w14:paraId="742532FF"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市工信局</w:t>
            </w:r>
          </w:p>
        </w:tc>
        <w:tc>
          <w:tcPr>
            <w:tcW w:w="1377" w:type="dxa"/>
            <w:vAlign w:val="center"/>
          </w:tcPr>
          <w:p w14:paraId="522250CE"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tr w:rsidR="00000000" w14:paraId="16E438FD" w14:textId="77777777">
        <w:trPr>
          <w:cantSplit/>
          <w:trHeight w:val="454"/>
          <w:jc w:val="center"/>
        </w:trPr>
        <w:tc>
          <w:tcPr>
            <w:tcW w:w="619" w:type="dxa"/>
            <w:vAlign w:val="center"/>
          </w:tcPr>
          <w:p w14:paraId="78E0ABF3"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hint="eastAsia"/>
                <w:color w:val="000000"/>
                <w:kern w:val="0"/>
                <w:sz w:val="24"/>
              </w:rPr>
              <w:t>103</w:t>
            </w:r>
          </w:p>
        </w:tc>
        <w:tc>
          <w:tcPr>
            <w:tcW w:w="9785" w:type="dxa"/>
            <w:vAlign w:val="center"/>
          </w:tcPr>
          <w:p w14:paraId="5E31764C" w14:textId="77777777" w:rsidR="00000000" w:rsidRDefault="00000000">
            <w:pPr>
              <w:autoSpaceDE w:val="0"/>
              <w:autoSpaceDN w:val="0"/>
              <w:adjustRightInd w:val="0"/>
              <w:spacing w:line="360" w:lineRule="exact"/>
              <w:jc w:val="left"/>
              <w:rPr>
                <w:rFonts w:ascii="Times New Roman" w:hAnsi="Times New Roman"/>
                <w:color w:val="000000"/>
                <w:kern w:val="0"/>
                <w:sz w:val="24"/>
              </w:rPr>
            </w:pPr>
            <w:r>
              <w:rPr>
                <w:rFonts w:ascii="Times New Roman" w:hAnsi="Times New Roman"/>
                <w:color w:val="000000"/>
                <w:kern w:val="0"/>
                <w:sz w:val="24"/>
              </w:rPr>
              <w:t>鼓励市属企业设立并购重组子基金，围绕主导产业参与企业并购重组，服务产业链延链固链补链强链。</w:t>
            </w:r>
          </w:p>
        </w:tc>
        <w:tc>
          <w:tcPr>
            <w:tcW w:w="1917" w:type="dxa"/>
            <w:vAlign w:val="center"/>
          </w:tcPr>
          <w:p w14:paraId="2A94268A"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市财政局</w:t>
            </w:r>
          </w:p>
        </w:tc>
        <w:tc>
          <w:tcPr>
            <w:tcW w:w="1377" w:type="dxa"/>
            <w:vAlign w:val="center"/>
          </w:tcPr>
          <w:p w14:paraId="10974950" w14:textId="77777777" w:rsidR="00000000" w:rsidRDefault="00000000">
            <w:pPr>
              <w:autoSpaceDE w:val="0"/>
              <w:autoSpaceDN w:val="0"/>
              <w:adjustRightInd w:val="0"/>
              <w:spacing w:line="360" w:lineRule="exact"/>
              <w:jc w:val="center"/>
              <w:rPr>
                <w:rFonts w:ascii="Times New Roman" w:hAnsi="Times New Roman"/>
                <w:color w:val="000000"/>
                <w:kern w:val="0"/>
                <w:sz w:val="24"/>
              </w:rPr>
            </w:pPr>
            <w:r>
              <w:rPr>
                <w:rFonts w:ascii="Times New Roman" w:hAnsi="Times New Roman"/>
                <w:color w:val="000000"/>
                <w:kern w:val="0"/>
                <w:sz w:val="24"/>
              </w:rPr>
              <w:t>持续推进</w:t>
            </w:r>
          </w:p>
        </w:tc>
      </w:tr>
      <w:bookmarkEnd w:id="0"/>
      <w:bookmarkEnd w:id="1"/>
    </w:tbl>
    <w:p w14:paraId="4C6AFADB" w14:textId="77777777" w:rsidR="001E3D87" w:rsidRDefault="001E3D87" w:rsidP="000A5BB3">
      <w:pPr>
        <w:snapToGrid w:val="0"/>
        <w:spacing w:line="500" w:lineRule="exact"/>
        <w:ind w:rightChars="100" w:right="210"/>
        <w:rPr>
          <w:rFonts w:ascii="Times New Roman" w:eastAsia="方正仿宋简体" w:hAnsi="Times New Roman"/>
          <w:color w:val="000000"/>
          <w:sz w:val="28"/>
          <w:szCs w:val="28"/>
        </w:rPr>
      </w:pPr>
    </w:p>
    <w:sectPr w:rsidR="001E3D87" w:rsidSect="000A5BB3">
      <w:footerReference w:type="default" r:id="rId10"/>
      <w:pgSz w:w="16838" w:h="11906" w:orient="landscape"/>
      <w:pgMar w:top="1531" w:right="1814" w:bottom="1531" w:left="1814" w:header="851" w:footer="1418"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DB68" w14:textId="77777777" w:rsidR="00765E21" w:rsidRDefault="00765E21">
      <w:r>
        <w:separator/>
      </w:r>
    </w:p>
  </w:endnote>
  <w:endnote w:type="continuationSeparator" w:id="0">
    <w:p w14:paraId="5E14A4F7" w14:textId="77777777" w:rsidR="00765E21" w:rsidRDefault="0076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subsetted="1" w:fontKey="{5348C45B-1B46-4631-9FAC-5B291558117C}"/>
    <w:embedBold r:id="rId2" w:subsetted="1" w:fontKey="{96BF2E99-D343-483B-8EEB-B0C22A86A5EC}"/>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embedRegular r:id="rId3" w:subsetted="1" w:fontKey="{3C584EE8-B6BB-447C-9803-8D85BFED07ED}"/>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CE45030F-00C2-411D-AB29-BD9E7F554207}"/>
  </w:font>
  <w:font w:name="方正仿宋简体">
    <w:panose1 w:val="03000509000000000000"/>
    <w:charset w:val="86"/>
    <w:family w:val="script"/>
    <w:pitch w:val="fixed"/>
    <w:sig w:usb0="00000001" w:usb1="080E0000" w:usb2="00000010" w:usb3="00000000" w:csb0="00040000" w:csb1="00000000"/>
    <w:embedRegular r:id="rId5" w:subsetted="1" w:fontKey="{38132A40-4FD1-457D-8790-A1C413797C08}"/>
  </w:font>
  <w:font w:name="方正黑体简体">
    <w:panose1 w:val="03000509000000000000"/>
    <w:charset w:val="86"/>
    <w:family w:val="script"/>
    <w:pitch w:val="fixed"/>
    <w:sig w:usb0="00000001" w:usb1="080E0000" w:usb2="00000010" w:usb3="00000000" w:csb0="00040000" w:csb1="00000000"/>
    <w:embedRegular r:id="rId6" w:subsetted="1" w:fontKey="{ABB70AEC-92BA-4F95-8DF2-155D1715C525}"/>
  </w:font>
  <w:font w:name="方正楷体简体">
    <w:panose1 w:val="03000509000000000000"/>
    <w:charset w:val="86"/>
    <w:family w:val="script"/>
    <w:pitch w:val="fixed"/>
    <w:sig w:usb0="00000001" w:usb1="080E0000" w:usb2="00000010" w:usb3="00000000" w:csb0="00040000" w:csb1="00000000"/>
    <w:embedRegular r:id="rId7" w:subsetted="1" w:fontKey="{45F2C5BE-11E8-42A4-8DA5-DDE1F44CEC7C}"/>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C6BC" w14:textId="77777777" w:rsidR="00000000" w:rsidRDefault="00000000">
    <w:pPr>
      <w:pStyle w:val="a7"/>
      <w:ind w:leftChars="150" w:left="315" w:rightChars="150" w:right="315"/>
      <w:jc w:val="both"/>
      <w:rPr>
        <w:rFonts w:ascii="方正仿宋简体" w:eastAsia="方正仿宋简体"/>
        <w:sz w:val="28"/>
        <w:szCs w:val="28"/>
      </w:rPr>
    </w:pPr>
    <w:r>
      <w:rPr>
        <w:rFonts w:ascii="方正仿宋简体" w:eastAsia="方正仿宋简体" w:hint="eastAsia"/>
        <w:sz w:val="28"/>
        <w:szCs w:val="28"/>
      </w:rPr>
      <w:t>—</w:t>
    </w:r>
    <w:r>
      <w:rPr>
        <w:rFonts w:ascii="Times New Roman" w:eastAsia="方正仿宋简体" w:hAnsi="Times New Roman"/>
        <w:sz w:val="28"/>
        <w:szCs w:val="28"/>
      </w:rPr>
      <w:t xml:space="preserve"> </w:t>
    </w:r>
    <w:r>
      <w:rPr>
        <w:rFonts w:ascii="Times New Roman" w:eastAsia="方正仿宋简体" w:hAnsi="Times New Roman"/>
        <w:sz w:val="28"/>
        <w:szCs w:val="28"/>
      </w:rPr>
      <w:fldChar w:fldCharType="begin"/>
    </w:r>
    <w:r>
      <w:rPr>
        <w:rFonts w:ascii="Times New Roman" w:eastAsia="方正仿宋简体" w:hAnsi="Times New Roman"/>
        <w:sz w:val="28"/>
        <w:szCs w:val="28"/>
      </w:rPr>
      <w:instrText xml:space="preserve"> PAGE   \* MERGEFORMAT </w:instrText>
    </w:r>
    <w:r>
      <w:rPr>
        <w:rFonts w:ascii="Times New Roman" w:eastAsia="方正仿宋简体" w:hAnsi="Times New Roman"/>
        <w:sz w:val="28"/>
        <w:szCs w:val="28"/>
      </w:rPr>
      <w:fldChar w:fldCharType="separate"/>
    </w:r>
    <w:r>
      <w:rPr>
        <w:rFonts w:ascii="Times New Roman" w:eastAsia="方正仿宋简体" w:hAnsi="Times New Roman"/>
        <w:sz w:val="28"/>
        <w:szCs w:val="28"/>
        <w:lang w:val="zh-CN" w:eastAsia="zh-CN"/>
      </w:rPr>
      <w:t>2</w:t>
    </w:r>
    <w:r>
      <w:rPr>
        <w:rFonts w:ascii="Times New Roman" w:eastAsia="方正仿宋简体" w:hAnsi="Times New Roman"/>
        <w:sz w:val="28"/>
        <w:szCs w:val="28"/>
      </w:rPr>
      <w:fldChar w:fldCharType="end"/>
    </w:r>
    <w:r>
      <w:rPr>
        <w:rFonts w:ascii="Times New Roman" w:eastAsia="方正仿宋简体" w:hAnsi="Times New Roman"/>
        <w:sz w:val="28"/>
        <w:szCs w:val="28"/>
      </w:rPr>
      <w:t xml:space="preserve"> </w:t>
    </w:r>
    <w:r>
      <w:rPr>
        <w:rFonts w:ascii="方正仿宋简体" w:eastAsia="方正仿宋简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C5840" w14:textId="77777777" w:rsidR="00000000" w:rsidRDefault="00000000">
    <w:pPr>
      <w:pStyle w:val="a7"/>
      <w:ind w:rightChars="150" w:right="315"/>
      <w:jc w:val="right"/>
      <w:rPr>
        <w:rFonts w:ascii="方正仿宋简体" w:eastAsia="方正仿宋简体" w:hint="eastAsia"/>
        <w:sz w:val="28"/>
        <w:szCs w:val="28"/>
      </w:rPr>
    </w:pPr>
    <w:r>
      <w:rPr>
        <w:rFonts w:ascii="方正仿宋简体" w:eastAsia="方正仿宋简体" w:hint="eastAsia"/>
        <w:sz w:val="28"/>
        <w:szCs w:val="28"/>
      </w:rPr>
      <w:t>—</w:t>
    </w:r>
    <w:r>
      <w:rPr>
        <w:rFonts w:ascii="Times New Roman" w:eastAsia="方正仿宋简体" w:hAnsi="Times New Roman"/>
        <w:sz w:val="28"/>
        <w:szCs w:val="28"/>
      </w:rPr>
      <w:t xml:space="preserve"> </w:t>
    </w:r>
    <w:r>
      <w:rPr>
        <w:rFonts w:ascii="Times New Roman" w:eastAsia="方正仿宋简体" w:hAnsi="Times New Roman"/>
        <w:sz w:val="28"/>
        <w:szCs w:val="28"/>
      </w:rPr>
      <w:fldChar w:fldCharType="begin"/>
    </w:r>
    <w:r>
      <w:rPr>
        <w:rFonts w:ascii="Times New Roman" w:eastAsia="方正仿宋简体" w:hAnsi="Times New Roman"/>
        <w:sz w:val="28"/>
        <w:szCs w:val="28"/>
      </w:rPr>
      <w:instrText xml:space="preserve"> PAGE   \* MERGEFORMAT </w:instrText>
    </w:r>
    <w:r>
      <w:rPr>
        <w:rFonts w:ascii="Times New Roman" w:eastAsia="方正仿宋简体" w:hAnsi="Times New Roman"/>
        <w:sz w:val="28"/>
        <w:szCs w:val="28"/>
      </w:rPr>
      <w:fldChar w:fldCharType="separate"/>
    </w:r>
    <w:r>
      <w:rPr>
        <w:rFonts w:ascii="Times New Roman" w:eastAsia="方正仿宋简体" w:hAnsi="Times New Roman"/>
        <w:sz w:val="28"/>
        <w:szCs w:val="28"/>
        <w:lang w:val="zh-CN" w:eastAsia="zh-CN"/>
      </w:rPr>
      <w:t>1</w:t>
    </w:r>
    <w:r>
      <w:rPr>
        <w:rFonts w:ascii="Times New Roman" w:eastAsia="方正仿宋简体" w:hAnsi="Times New Roman"/>
        <w:sz w:val="28"/>
        <w:szCs w:val="28"/>
      </w:rPr>
      <w:fldChar w:fldCharType="end"/>
    </w:r>
    <w:r>
      <w:rPr>
        <w:rFonts w:ascii="Times New Roman" w:eastAsia="方正仿宋简体" w:hAnsi="Times New Roman"/>
        <w:sz w:val="28"/>
        <w:szCs w:val="28"/>
      </w:rPr>
      <w:t xml:space="preserve"> </w:t>
    </w:r>
    <w:r>
      <w:rPr>
        <w:rFonts w:ascii="方正仿宋简体" w:eastAsia="方正仿宋简体" w:hint="eastAsia"/>
        <w:sz w:val="28"/>
        <w:szCs w:val="2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34E8" w14:textId="77777777" w:rsidR="00000000" w:rsidRDefault="00000000">
    <w:pPr>
      <w:pStyle w:val="a7"/>
      <w:rPr>
        <w:rFonts w:hint="eastAsia"/>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ABF2" w14:textId="77777777" w:rsidR="00765E21" w:rsidRDefault="00765E21">
      <w:r>
        <w:separator/>
      </w:r>
    </w:p>
  </w:footnote>
  <w:footnote w:type="continuationSeparator" w:id="0">
    <w:p w14:paraId="4B65C5F6" w14:textId="77777777" w:rsidR="00765E21" w:rsidRDefault="00765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C356" w14:textId="77777777" w:rsidR="00000000" w:rsidRDefault="00000000">
    <w:pPr>
      <w:rPr>
        <w:b/>
      </w:rPr>
    </w:pPr>
    <w:r>
      <w:rPr>
        <w:b/>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0691" w14:textId="77777777" w:rsidR="00000000" w:rsidRDefault="00000000">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990"/>
    <w:rsid w:val="000013DE"/>
    <w:rsid w:val="000014BA"/>
    <w:rsid w:val="00001A63"/>
    <w:rsid w:val="000020F4"/>
    <w:rsid w:val="00003C2E"/>
    <w:rsid w:val="00003CB7"/>
    <w:rsid w:val="00004A86"/>
    <w:rsid w:val="00004EBA"/>
    <w:rsid w:val="000052D4"/>
    <w:rsid w:val="00006B52"/>
    <w:rsid w:val="00007130"/>
    <w:rsid w:val="00010387"/>
    <w:rsid w:val="0001181B"/>
    <w:rsid w:val="00011892"/>
    <w:rsid w:val="00012397"/>
    <w:rsid w:val="00012500"/>
    <w:rsid w:val="00012639"/>
    <w:rsid w:val="00012FC4"/>
    <w:rsid w:val="00013970"/>
    <w:rsid w:val="000145DB"/>
    <w:rsid w:val="000150BB"/>
    <w:rsid w:val="00016CFB"/>
    <w:rsid w:val="00020FD3"/>
    <w:rsid w:val="000220C4"/>
    <w:rsid w:val="00022181"/>
    <w:rsid w:val="00024828"/>
    <w:rsid w:val="00024E61"/>
    <w:rsid w:val="00025663"/>
    <w:rsid w:val="00026C10"/>
    <w:rsid w:val="00030A3C"/>
    <w:rsid w:val="0003163D"/>
    <w:rsid w:val="000326C0"/>
    <w:rsid w:val="00032906"/>
    <w:rsid w:val="00032E7A"/>
    <w:rsid w:val="00032F71"/>
    <w:rsid w:val="0003307D"/>
    <w:rsid w:val="0003337C"/>
    <w:rsid w:val="0003372D"/>
    <w:rsid w:val="000344AA"/>
    <w:rsid w:val="00034BFC"/>
    <w:rsid w:val="00034F75"/>
    <w:rsid w:val="00035049"/>
    <w:rsid w:val="000350BC"/>
    <w:rsid w:val="000409D6"/>
    <w:rsid w:val="000418F3"/>
    <w:rsid w:val="00043B31"/>
    <w:rsid w:val="00044896"/>
    <w:rsid w:val="0004635A"/>
    <w:rsid w:val="00046907"/>
    <w:rsid w:val="00046DF3"/>
    <w:rsid w:val="000473A4"/>
    <w:rsid w:val="00047A60"/>
    <w:rsid w:val="00047C13"/>
    <w:rsid w:val="000512EB"/>
    <w:rsid w:val="00052FD4"/>
    <w:rsid w:val="00053660"/>
    <w:rsid w:val="00055F83"/>
    <w:rsid w:val="0005693D"/>
    <w:rsid w:val="000569E1"/>
    <w:rsid w:val="00056F7F"/>
    <w:rsid w:val="0005722B"/>
    <w:rsid w:val="000600F5"/>
    <w:rsid w:val="0006019A"/>
    <w:rsid w:val="00060914"/>
    <w:rsid w:val="00060C92"/>
    <w:rsid w:val="00061D14"/>
    <w:rsid w:val="00062B41"/>
    <w:rsid w:val="00063959"/>
    <w:rsid w:val="00066128"/>
    <w:rsid w:val="00067C82"/>
    <w:rsid w:val="00067FE3"/>
    <w:rsid w:val="000705E3"/>
    <w:rsid w:val="00072034"/>
    <w:rsid w:val="00076455"/>
    <w:rsid w:val="00076769"/>
    <w:rsid w:val="000771B6"/>
    <w:rsid w:val="00077238"/>
    <w:rsid w:val="00081091"/>
    <w:rsid w:val="000816FA"/>
    <w:rsid w:val="000821C6"/>
    <w:rsid w:val="0008276C"/>
    <w:rsid w:val="00083431"/>
    <w:rsid w:val="0008449F"/>
    <w:rsid w:val="00084554"/>
    <w:rsid w:val="00085333"/>
    <w:rsid w:val="000853FB"/>
    <w:rsid w:val="00085656"/>
    <w:rsid w:val="00086141"/>
    <w:rsid w:val="000864C5"/>
    <w:rsid w:val="00086515"/>
    <w:rsid w:val="00086DD0"/>
    <w:rsid w:val="00087199"/>
    <w:rsid w:val="00087A18"/>
    <w:rsid w:val="00087AA0"/>
    <w:rsid w:val="00087D62"/>
    <w:rsid w:val="00087EC1"/>
    <w:rsid w:val="0009079E"/>
    <w:rsid w:val="00090E50"/>
    <w:rsid w:val="00092A70"/>
    <w:rsid w:val="00092D11"/>
    <w:rsid w:val="00092FCB"/>
    <w:rsid w:val="00093941"/>
    <w:rsid w:val="00093C2C"/>
    <w:rsid w:val="00093DDF"/>
    <w:rsid w:val="00094802"/>
    <w:rsid w:val="00094AAB"/>
    <w:rsid w:val="00094E02"/>
    <w:rsid w:val="00095AB8"/>
    <w:rsid w:val="0009642C"/>
    <w:rsid w:val="00097341"/>
    <w:rsid w:val="00097A58"/>
    <w:rsid w:val="000A0FF3"/>
    <w:rsid w:val="000A2E7E"/>
    <w:rsid w:val="000A3E21"/>
    <w:rsid w:val="000A3FE9"/>
    <w:rsid w:val="000A5814"/>
    <w:rsid w:val="000A5BB3"/>
    <w:rsid w:val="000A74E9"/>
    <w:rsid w:val="000B01AF"/>
    <w:rsid w:val="000B0468"/>
    <w:rsid w:val="000B1988"/>
    <w:rsid w:val="000B6BEC"/>
    <w:rsid w:val="000B7143"/>
    <w:rsid w:val="000C0DC4"/>
    <w:rsid w:val="000C2284"/>
    <w:rsid w:val="000C379F"/>
    <w:rsid w:val="000C3C89"/>
    <w:rsid w:val="000C7008"/>
    <w:rsid w:val="000C7482"/>
    <w:rsid w:val="000C779A"/>
    <w:rsid w:val="000C7B95"/>
    <w:rsid w:val="000D0E1B"/>
    <w:rsid w:val="000D0ED8"/>
    <w:rsid w:val="000D29F5"/>
    <w:rsid w:val="000D35E3"/>
    <w:rsid w:val="000D4098"/>
    <w:rsid w:val="000D45AD"/>
    <w:rsid w:val="000D546A"/>
    <w:rsid w:val="000D7AC8"/>
    <w:rsid w:val="000E136A"/>
    <w:rsid w:val="000E1672"/>
    <w:rsid w:val="000E3029"/>
    <w:rsid w:val="000E307E"/>
    <w:rsid w:val="000E4B23"/>
    <w:rsid w:val="000F2E8F"/>
    <w:rsid w:val="000F389C"/>
    <w:rsid w:val="000F48C4"/>
    <w:rsid w:val="000F56F1"/>
    <w:rsid w:val="000F5BE0"/>
    <w:rsid w:val="000F5CD5"/>
    <w:rsid w:val="00101C29"/>
    <w:rsid w:val="001054B2"/>
    <w:rsid w:val="00105A1E"/>
    <w:rsid w:val="00106AD7"/>
    <w:rsid w:val="00106C63"/>
    <w:rsid w:val="0011064C"/>
    <w:rsid w:val="00112BC8"/>
    <w:rsid w:val="0011370A"/>
    <w:rsid w:val="00116E12"/>
    <w:rsid w:val="00120FEA"/>
    <w:rsid w:val="00121037"/>
    <w:rsid w:val="00121BDF"/>
    <w:rsid w:val="00122160"/>
    <w:rsid w:val="00123334"/>
    <w:rsid w:val="0012373F"/>
    <w:rsid w:val="0012441D"/>
    <w:rsid w:val="0012451D"/>
    <w:rsid w:val="00124C80"/>
    <w:rsid w:val="00130605"/>
    <w:rsid w:val="001323CA"/>
    <w:rsid w:val="00132B41"/>
    <w:rsid w:val="00133CE1"/>
    <w:rsid w:val="00134021"/>
    <w:rsid w:val="00134875"/>
    <w:rsid w:val="0013527D"/>
    <w:rsid w:val="0013528E"/>
    <w:rsid w:val="00135549"/>
    <w:rsid w:val="001366EC"/>
    <w:rsid w:val="0013672B"/>
    <w:rsid w:val="001372BC"/>
    <w:rsid w:val="00137A88"/>
    <w:rsid w:val="00140933"/>
    <w:rsid w:val="00142B1E"/>
    <w:rsid w:val="001461A8"/>
    <w:rsid w:val="00146469"/>
    <w:rsid w:val="001465F2"/>
    <w:rsid w:val="00146B48"/>
    <w:rsid w:val="00147F72"/>
    <w:rsid w:val="00151280"/>
    <w:rsid w:val="00151515"/>
    <w:rsid w:val="00151C4E"/>
    <w:rsid w:val="00151DF7"/>
    <w:rsid w:val="001525CE"/>
    <w:rsid w:val="00152938"/>
    <w:rsid w:val="00153A49"/>
    <w:rsid w:val="0015424D"/>
    <w:rsid w:val="00154E88"/>
    <w:rsid w:val="001552F8"/>
    <w:rsid w:val="00155757"/>
    <w:rsid w:val="00155914"/>
    <w:rsid w:val="00156CB0"/>
    <w:rsid w:val="00156DA9"/>
    <w:rsid w:val="00160338"/>
    <w:rsid w:val="0016173D"/>
    <w:rsid w:val="00162580"/>
    <w:rsid w:val="001642C6"/>
    <w:rsid w:val="00164993"/>
    <w:rsid w:val="00164BE1"/>
    <w:rsid w:val="00164DE3"/>
    <w:rsid w:val="00164F9B"/>
    <w:rsid w:val="001655C7"/>
    <w:rsid w:val="00165B10"/>
    <w:rsid w:val="00166EF9"/>
    <w:rsid w:val="00167BE5"/>
    <w:rsid w:val="00170C4B"/>
    <w:rsid w:val="001712EA"/>
    <w:rsid w:val="00171B41"/>
    <w:rsid w:val="00171D0A"/>
    <w:rsid w:val="00172D61"/>
    <w:rsid w:val="00172EF6"/>
    <w:rsid w:val="0017313F"/>
    <w:rsid w:val="00173E81"/>
    <w:rsid w:val="00175A95"/>
    <w:rsid w:val="00175B00"/>
    <w:rsid w:val="00175EB5"/>
    <w:rsid w:val="00175F69"/>
    <w:rsid w:val="001770A4"/>
    <w:rsid w:val="00180360"/>
    <w:rsid w:val="00180F14"/>
    <w:rsid w:val="00181429"/>
    <w:rsid w:val="00182B49"/>
    <w:rsid w:val="0018330B"/>
    <w:rsid w:val="0018330D"/>
    <w:rsid w:val="001835E0"/>
    <w:rsid w:val="00183AFB"/>
    <w:rsid w:val="0018446A"/>
    <w:rsid w:val="0018489F"/>
    <w:rsid w:val="0018689E"/>
    <w:rsid w:val="001906DF"/>
    <w:rsid w:val="00190878"/>
    <w:rsid w:val="00191E55"/>
    <w:rsid w:val="001927B3"/>
    <w:rsid w:val="00193FBA"/>
    <w:rsid w:val="0019514C"/>
    <w:rsid w:val="00195278"/>
    <w:rsid w:val="001959CE"/>
    <w:rsid w:val="00196898"/>
    <w:rsid w:val="00197564"/>
    <w:rsid w:val="00197E67"/>
    <w:rsid w:val="001A0E67"/>
    <w:rsid w:val="001A1EB1"/>
    <w:rsid w:val="001A3921"/>
    <w:rsid w:val="001A694D"/>
    <w:rsid w:val="001A6D07"/>
    <w:rsid w:val="001B111C"/>
    <w:rsid w:val="001B28D9"/>
    <w:rsid w:val="001B3373"/>
    <w:rsid w:val="001B4528"/>
    <w:rsid w:val="001B4A18"/>
    <w:rsid w:val="001B4A97"/>
    <w:rsid w:val="001B625E"/>
    <w:rsid w:val="001B6829"/>
    <w:rsid w:val="001B786F"/>
    <w:rsid w:val="001C0C49"/>
    <w:rsid w:val="001C18F8"/>
    <w:rsid w:val="001C19FA"/>
    <w:rsid w:val="001C1AC1"/>
    <w:rsid w:val="001C227A"/>
    <w:rsid w:val="001C231D"/>
    <w:rsid w:val="001C2AB0"/>
    <w:rsid w:val="001C3BF6"/>
    <w:rsid w:val="001C4301"/>
    <w:rsid w:val="001C527B"/>
    <w:rsid w:val="001C52EC"/>
    <w:rsid w:val="001C545D"/>
    <w:rsid w:val="001C5B27"/>
    <w:rsid w:val="001C7302"/>
    <w:rsid w:val="001D33FA"/>
    <w:rsid w:val="001D37B8"/>
    <w:rsid w:val="001D45E3"/>
    <w:rsid w:val="001D5412"/>
    <w:rsid w:val="001D6760"/>
    <w:rsid w:val="001D6BAC"/>
    <w:rsid w:val="001D75D3"/>
    <w:rsid w:val="001E0C16"/>
    <w:rsid w:val="001E0E16"/>
    <w:rsid w:val="001E18BE"/>
    <w:rsid w:val="001E3390"/>
    <w:rsid w:val="001E3D87"/>
    <w:rsid w:val="001E45CA"/>
    <w:rsid w:val="001E4FA4"/>
    <w:rsid w:val="001E5372"/>
    <w:rsid w:val="001E5A35"/>
    <w:rsid w:val="001E6157"/>
    <w:rsid w:val="001E66C5"/>
    <w:rsid w:val="001E7590"/>
    <w:rsid w:val="001F1F39"/>
    <w:rsid w:val="001F241F"/>
    <w:rsid w:val="001F2EB7"/>
    <w:rsid w:val="001F325C"/>
    <w:rsid w:val="001F379C"/>
    <w:rsid w:val="001F3A40"/>
    <w:rsid w:val="001F4127"/>
    <w:rsid w:val="001F4F08"/>
    <w:rsid w:val="001F65AD"/>
    <w:rsid w:val="001F6BB8"/>
    <w:rsid w:val="001F7CE5"/>
    <w:rsid w:val="00200313"/>
    <w:rsid w:val="00200F0D"/>
    <w:rsid w:val="002016E5"/>
    <w:rsid w:val="0020184C"/>
    <w:rsid w:val="00203260"/>
    <w:rsid w:val="00203CF9"/>
    <w:rsid w:val="00203E90"/>
    <w:rsid w:val="00204290"/>
    <w:rsid w:val="00206C16"/>
    <w:rsid w:val="0021073E"/>
    <w:rsid w:val="00211496"/>
    <w:rsid w:val="002120F2"/>
    <w:rsid w:val="002142B1"/>
    <w:rsid w:val="00215750"/>
    <w:rsid w:val="002166B1"/>
    <w:rsid w:val="002168C6"/>
    <w:rsid w:val="0021713B"/>
    <w:rsid w:val="002205BA"/>
    <w:rsid w:val="00221E28"/>
    <w:rsid w:val="002222F2"/>
    <w:rsid w:val="00224176"/>
    <w:rsid w:val="00224237"/>
    <w:rsid w:val="00225302"/>
    <w:rsid w:val="00225D91"/>
    <w:rsid w:val="002262DB"/>
    <w:rsid w:val="002264F8"/>
    <w:rsid w:val="00227933"/>
    <w:rsid w:val="0023256A"/>
    <w:rsid w:val="00233B4D"/>
    <w:rsid w:val="002368B5"/>
    <w:rsid w:val="00236C87"/>
    <w:rsid w:val="00237E83"/>
    <w:rsid w:val="00240E49"/>
    <w:rsid w:val="00241349"/>
    <w:rsid w:val="002417F2"/>
    <w:rsid w:val="00241A53"/>
    <w:rsid w:val="002450C7"/>
    <w:rsid w:val="002458EE"/>
    <w:rsid w:val="00246241"/>
    <w:rsid w:val="002463ED"/>
    <w:rsid w:val="00246CAC"/>
    <w:rsid w:val="00246F38"/>
    <w:rsid w:val="00247A22"/>
    <w:rsid w:val="00247AD2"/>
    <w:rsid w:val="00250F8D"/>
    <w:rsid w:val="00254A61"/>
    <w:rsid w:val="00254FAB"/>
    <w:rsid w:val="00256246"/>
    <w:rsid w:val="002567DE"/>
    <w:rsid w:val="0025736D"/>
    <w:rsid w:val="002603FC"/>
    <w:rsid w:val="002610EE"/>
    <w:rsid w:val="00261406"/>
    <w:rsid w:val="002641E0"/>
    <w:rsid w:val="00265C1A"/>
    <w:rsid w:val="0026704F"/>
    <w:rsid w:val="002671F8"/>
    <w:rsid w:val="00267730"/>
    <w:rsid w:val="002678E0"/>
    <w:rsid w:val="00267A1E"/>
    <w:rsid w:val="00270B20"/>
    <w:rsid w:val="0027139C"/>
    <w:rsid w:val="00273CEB"/>
    <w:rsid w:val="00274107"/>
    <w:rsid w:val="002745C4"/>
    <w:rsid w:val="0027501C"/>
    <w:rsid w:val="00276181"/>
    <w:rsid w:val="00276672"/>
    <w:rsid w:val="002775B3"/>
    <w:rsid w:val="00280761"/>
    <w:rsid w:val="002807DF"/>
    <w:rsid w:val="002819CC"/>
    <w:rsid w:val="00282BFD"/>
    <w:rsid w:val="00283ECB"/>
    <w:rsid w:val="00286766"/>
    <w:rsid w:val="00287E1A"/>
    <w:rsid w:val="00291DB0"/>
    <w:rsid w:val="00293065"/>
    <w:rsid w:val="002932C7"/>
    <w:rsid w:val="0029450F"/>
    <w:rsid w:val="00296E5C"/>
    <w:rsid w:val="002A0F3E"/>
    <w:rsid w:val="002A172B"/>
    <w:rsid w:val="002A1A2C"/>
    <w:rsid w:val="002A3501"/>
    <w:rsid w:val="002A3EEF"/>
    <w:rsid w:val="002A3FBC"/>
    <w:rsid w:val="002A6778"/>
    <w:rsid w:val="002A713B"/>
    <w:rsid w:val="002A7400"/>
    <w:rsid w:val="002A7EA0"/>
    <w:rsid w:val="002B005E"/>
    <w:rsid w:val="002B0934"/>
    <w:rsid w:val="002B12E2"/>
    <w:rsid w:val="002B1EDC"/>
    <w:rsid w:val="002B2D77"/>
    <w:rsid w:val="002B34A4"/>
    <w:rsid w:val="002B409A"/>
    <w:rsid w:val="002B48CD"/>
    <w:rsid w:val="002B4D2F"/>
    <w:rsid w:val="002B68D1"/>
    <w:rsid w:val="002B74E8"/>
    <w:rsid w:val="002B7C73"/>
    <w:rsid w:val="002C079C"/>
    <w:rsid w:val="002C0DE5"/>
    <w:rsid w:val="002C2013"/>
    <w:rsid w:val="002C4CAC"/>
    <w:rsid w:val="002C517D"/>
    <w:rsid w:val="002C51BE"/>
    <w:rsid w:val="002C52AB"/>
    <w:rsid w:val="002D04B4"/>
    <w:rsid w:val="002D0704"/>
    <w:rsid w:val="002D11A0"/>
    <w:rsid w:val="002D143E"/>
    <w:rsid w:val="002D17F2"/>
    <w:rsid w:val="002D1D40"/>
    <w:rsid w:val="002D3031"/>
    <w:rsid w:val="002D352B"/>
    <w:rsid w:val="002D4C11"/>
    <w:rsid w:val="002D52A3"/>
    <w:rsid w:val="002D7B81"/>
    <w:rsid w:val="002E03E9"/>
    <w:rsid w:val="002E059E"/>
    <w:rsid w:val="002E080B"/>
    <w:rsid w:val="002E0A9E"/>
    <w:rsid w:val="002E304C"/>
    <w:rsid w:val="002E32ED"/>
    <w:rsid w:val="002E4A3A"/>
    <w:rsid w:val="002E5380"/>
    <w:rsid w:val="002E564C"/>
    <w:rsid w:val="002E5789"/>
    <w:rsid w:val="002E5EA7"/>
    <w:rsid w:val="002E66CE"/>
    <w:rsid w:val="002F18A5"/>
    <w:rsid w:val="002F2533"/>
    <w:rsid w:val="002F395E"/>
    <w:rsid w:val="002F3C66"/>
    <w:rsid w:val="002F6641"/>
    <w:rsid w:val="003005EF"/>
    <w:rsid w:val="0030133E"/>
    <w:rsid w:val="00302CC3"/>
    <w:rsid w:val="0030367E"/>
    <w:rsid w:val="003041DB"/>
    <w:rsid w:val="00304D59"/>
    <w:rsid w:val="0031006C"/>
    <w:rsid w:val="00311C84"/>
    <w:rsid w:val="003133A7"/>
    <w:rsid w:val="00313B5F"/>
    <w:rsid w:val="00315B00"/>
    <w:rsid w:val="00315DDD"/>
    <w:rsid w:val="00317A45"/>
    <w:rsid w:val="00317AB9"/>
    <w:rsid w:val="003201DC"/>
    <w:rsid w:val="00321DB2"/>
    <w:rsid w:val="00323B49"/>
    <w:rsid w:val="00324D06"/>
    <w:rsid w:val="00325A4B"/>
    <w:rsid w:val="00326932"/>
    <w:rsid w:val="00327386"/>
    <w:rsid w:val="00327FB3"/>
    <w:rsid w:val="0033042C"/>
    <w:rsid w:val="00331E69"/>
    <w:rsid w:val="00332E35"/>
    <w:rsid w:val="00333960"/>
    <w:rsid w:val="00335808"/>
    <w:rsid w:val="00335B34"/>
    <w:rsid w:val="00336B31"/>
    <w:rsid w:val="00336CF9"/>
    <w:rsid w:val="003370EB"/>
    <w:rsid w:val="003419E4"/>
    <w:rsid w:val="003420F8"/>
    <w:rsid w:val="00344897"/>
    <w:rsid w:val="003448AF"/>
    <w:rsid w:val="0035034A"/>
    <w:rsid w:val="00350891"/>
    <w:rsid w:val="003509BB"/>
    <w:rsid w:val="00351243"/>
    <w:rsid w:val="00353C92"/>
    <w:rsid w:val="00354499"/>
    <w:rsid w:val="0035597A"/>
    <w:rsid w:val="003566D6"/>
    <w:rsid w:val="00360391"/>
    <w:rsid w:val="00361556"/>
    <w:rsid w:val="00363200"/>
    <w:rsid w:val="00363E1F"/>
    <w:rsid w:val="00364051"/>
    <w:rsid w:val="00365157"/>
    <w:rsid w:val="00365341"/>
    <w:rsid w:val="003663C7"/>
    <w:rsid w:val="003677DA"/>
    <w:rsid w:val="00367CF7"/>
    <w:rsid w:val="0037031C"/>
    <w:rsid w:val="00370903"/>
    <w:rsid w:val="00370F31"/>
    <w:rsid w:val="00372661"/>
    <w:rsid w:val="00373905"/>
    <w:rsid w:val="0037528A"/>
    <w:rsid w:val="003757A7"/>
    <w:rsid w:val="003759EC"/>
    <w:rsid w:val="00386D9A"/>
    <w:rsid w:val="00387AA6"/>
    <w:rsid w:val="00387D21"/>
    <w:rsid w:val="003912C7"/>
    <w:rsid w:val="003922B1"/>
    <w:rsid w:val="00392451"/>
    <w:rsid w:val="00394827"/>
    <w:rsid w:val="00395472"/>
    <w:rsid w:val="003956C6"/>
    <w:rsid w:val="00396A34"/>
    <w:rsid w:val="00396B6A"/>
    <w:rsid w:val="003A0027"/>
    <w:rsid w:val="003A1B8E"/>
    <w:rsid w:val="003A1D61"/>
    <w:rsid w:val="003A4080"/>
    <w:rsid w:val="003A4152"/>
    <w:rsid w:val="003A45C8"/>
    <w:rsid w:val="003A4A05"/>
    <w:rsid w:val="003A55FA"/>
    <w:rsid w:val="003A5D2B"/>
    <w:rsid w:val="003A6641"/>
    <w:rsid w:val="003B2175"/>
    <w:rsid w:val="003B340F"/>
    <w:rsid w:val="003B385A"/>
    <w:rsid w:val="003B4692"/>
    <w:rsid w:val="003B4915"/>
    <w:rsid w:val="003B5024"/>
    <w:rsid w:val="003B7AEB"/>
    <w:rsid w:val="003B7B81"/>
    <w:rsid w:val="003C2884"/>
    <w:rsid w:val="003C28ED"/>
    <w:rsid w:val="003C4112"/>
    <w:rsid w:val="003C5BDE"/>
    <w:rsid w:val="003C5F09"/>
    <w:rsid w:val="003C68CE"/>
    <w:rsid w:val="003C7CA7"/>
    <w:rsid w:val="003D00B1"/>
    <w:rsid w:val="003D0451"/>
    <w:rsid w:val="003D1743"/>
    <w:rsid w:val="003D25F9"/>
    <w:rsid w:val="003D354D"/>
    <w:rsid w:val="003D46A4"/>
    <w:rsid w:val="003D48D6"/>
    <w:rsid w:val="003D4999"/>
    <w:rsid w:val="003D51A2"/>
    <w:rsid w:val="003D59F5"/>
    <w:rsid w:val="003E08C1"/>
    <w:rsid w:val="003E1069"/>
    <w:rsid w:val="003E2015"/>
    <w:rsid w:val="003E2CB3"/>
    <w:rsid w:val="003E527C"/>
    <w:rsid w:val="003E5CA9"/>
    <w:rsid w:val="003E67B0"/>
    <w:rsid w:val="003F1484"/>
    <w:rsid w:val="003F189B"/>
    <w:rsid w:val="003F2DD5"/>
    <w:rsid w:val="003F37CD"/>
    <w:rsid w:val="003F3A63"/>
    <w:rsid w:val="003F3AD8"/>
    <w:rsid w:val="003F4C9E"/>
    <w:rsid w:val="003F5EE8"/>
    <w:rsid w:val="003F715C"/>
    <w:rsid w:val="003F73DE"/>
    <w:rsid w:val="003F7C9C"/>
    <w:rsid w:val="00402194"/>
    <w:rsid w:val="004029C6"/>
    <w:rsid w:val="0040301B"/>
    <w:rsid w:val="00403AA4"/>
    <w:rsid w:val="004046CF"/>
    <w:rsid w:val="00405542"/>
    <w:rsid w:val="004066F8"/>
    <w:rsid w:val="00406C85"/>
    <w:rsid w:val="00406E5C"/>
    <w:rsid w:val="00406E87"/>
    <w:rsid w:val="00410299"/>
    <w:rsid w:val="004143F9"/>
    <w:rsid w:val="004158EE"/>
    <w:rsid w:val="00416E8A"/>
    <w:rsid w:val="00420458"/>
    <w:rsid w:val="00420597"/>
    <w:rsid w:val="00421003"/>
    <w:rsid w:val="00422D62"/>
    <w:rsid w:val="00422FB8"/>
    <w:rsid w:val="00423D06"/>
    <w:rsid w:val="004247B9"/>
    <w:rsid w:val="00424BE1"/>
    <w:rsid w:val="00425CA4"/>
    <w:rsid w:val="00426940"/>
    <w:rsid w:val="004269D4"/>
    <w:rsid w:val="0042720A"/>
    <w:rsid w:val="0042726A"/>
    <w:rsid w:val="00427CD9"/>
    <w:rsid w:val="00430313"/>
    <w:rsid w:val="0043571E"/>
    <w:rsid w:val="0043599D"/>
    <w:rsid w:val="004366C9"/>
    <w:rsid w:val="00436D2F"/>
    <w:rsid w:val="004378D7"/>
    <w:rsid w:val="00440531"/>
    <w:rsid w:val="00441A72"/>
    <w:rsid w:val="00441E9F"/>
    <w:rsid w:val="00442C51"/>
    <w:rsid w:val="004430A6"/>
    <w:rsid w:val="0044536C"/>
    <w:rsid w:val="00445DA5"/>
    <w:rsid w:val="004477AD"/>
    <w:rsid w:val="00450922"/>
    <w:rsid w:val="00451CB8"/>
    <w:rsid w:val="00453ED4"/>
    <w:rsid w:val="00454201"/>
    <w:rsid w:val="00454452"/>
    <w:rsid w:val="004544E8"/>
    <w:rsid w:val="00457591"/>
    <w:rsid w:val="004601EC"/>
    <w:rsid w:val="004613DC"/>
    <w:rsid w:val="004618A8"/>
    <w:rsid w:val="004624FC"/>
    <w:rsid w:val="00462534"/>
    <w:rsid w:val="004626FD"/>
    <w:rsid w:val="00464736"/>
    <w:rsid w:val="00465FCC"/>
    <w:rsid w:val="0046606C"/>
    <w:rsid w:val="00466248"/>
    <w:rsid w:val="00467D16"/>
    <w:rsid w:val="00473476"/>
    <w:rsid w:val="00474146"/>
    <w:rsid w:val="0047425D"/>
    <w:rsid w:val="004757A1"/>
    <w:rsid w:val="00475D8F"/>
    <w:rsid w:val="00476882"/>
    <w:rsid w:val="00476F59"/>
    <w:rsid w:val="004779DC"/>
    <w:rsid w:val="004809AD"/>
    <w:rsid w:val="004832D4"/>
    <w:rsid w:val="00483343"/>
    <w:rsid w:val="0048466E"/>
    <w:rsid w:val="004849C7"/>
    <w:rsid w:val="00485551"/>
    <w:rsid w:val="004855E7"/>
    <w:rsid w:val="00486BC3"/>
    <w:rsid w:val="0048792D"/>
    <w:rsid w:val="00490551"/>
    <w:rsid w:val="00491092"/>
    <w:rsid w:val="0049156C"/>
    <w:rsid w:val="0049195B"/>
    <w:rsid w:val="00491AB0"/>
    <w:rsid w:val="00491EA6"/>
    <w:rsid w:val="00492477"/>
    <w:rsid w:val="00492770"/>
    <w:rsid w:val="00492AE7"/>
    <w:rsid w:val="00493143"/>
    <w:rsid w:val="00493159"/>
    <w:rsid w:val="00493782"/>
    <w:rsid w:val="004937E4"/>
    <w:rsid w:val="00494D9D"/>
    <w:rsid w:val="00494EDF"/>
    <w:rsid w:val="00494F60"/>
    <w:rsid w:val="00495515"/>
    <w:rsid w:val="0049595F"/>
    <w:rsid w:val="004A10D7"/>
    <w:rsid w:val="004A1627"/>
    <w:rsid w:val="004A24C0"/>
    <w:rsid w:val="004A29D0"/>
    <w:rsid w:val="004A3B97"/>
    <w:rsid w:val="004A4DFE"/>
    <w:rsid w:val="004A6572"/>
    <w:rsid w:val="004A6A4E"/>
    <w:rsid w:val="004B0D5B"/>
    <w:rsid w:val="004B1693"/>
    <w:rsid w:val="004B2DC7"/>
    <w:rsid w:val="004B34A8"/>
    <w:rsid w:val="004B4D05"/>
    <w:rsid w:val="004B51F6"/>
    <w:rsid w:val="004B5F0F"/>
    <w:rsid w:val="004B6568"/>
    <w:rsid w:val="004C1089"/>
    <w:rsid w:val="004C197F"/>
    <w:rsid w:val="004C2438"/>
    <w:rsid w:val="004C3207"/>
    <w:rsid w:val="004C3942"/>
    <w:rsid w:val="004C619F"/>
    <w:rsid w:val="004C6EE3"/>
    <w:rsid w:val="004C7C4D"/>
    <w:rsid w:val="004D030B"/>
    <w:rsid w:val="004D222E"/>
    <w:rsid w:val="004D347B"/>
    <w:rsid w:val="004D4215"/>
    <w:rsid w:val="004D4AA4"/>
    <w:rsid w:val="004D4FC2"/>
    <w:rsid w:val="004D57DA"/>
    <w:rsid w:val="004D5ECA"/>
    <w:rsid w:val="004D5F6C"/>
    <w:rsid w:val="004D61BA"/>
    <w:rsid w:val="004D6A40"/>
    <w:rsid w:val="004D732E"/>
    <w:rsid w:val="004D796A"/>
    <w:rsid w:val="004D7A90"/>
    <w:rsid w:val="004D7C42"/>
    <w:rsid w:val="004E047F"/>
    <w:rsid w:val="004E087F"/>
    <w:rsid w:val="004E0F56"/>
    <w:rsid w:val="004E1402"/>
    <w:rsid w:val="004E238F"/>
    <w:rsid w:val="004E74C5"/>
    <w:rsid w:val="004E74CA"/>
    <w:rsid w:val="004F11E8"/>
    <w:rsid w:val="004F1EB0"/>
    <w:rsid w:val="004F23C2"/>
    <w:rsid w:val="004F300F"/>
    <w:rsid w:val="004F4864"/>
    <w:rsid w:val="004F51FA"/>
    <w:rsid w:val="004F558A"/>
    <w:rsid w:val="004F69A0"/>
    <w:rsid w:val="004F7206"/>
    <w:rsid w:val="004F784E"/>
    <w:rsid w:val="00500ED1"/>
    <w:rsid w:val="005010E2"/>
    <w:rsid w:val="00501853"/>
    <w:rsid w:val="00502BB9"/>
    <w:rsid w:val="00502D0A"/>
    <w:rsid w:val="005051C9"/>
    <w:rsid w:val="0050672F"/>
    <w:rsid w:val="00506F6F"/>
    <w:rsid w:val="0050758F"/>
    <w:rsid w:val="0050774A"/>
    <w:rsid w:val="005108AA"/>
    <w:rsid w:val="00510B9C"/>
    <w:rsid w:val="005114FE"/>
    <w:rsid w:val="00511FD9"/>
    <w:rsid w:val="00513B6D"/>
    <w:rsid w:val="005140DA"/>
    <w:rsid w:val="00515163"/>
    <w:rsid w:val="00517AA5"/>
    <w:rsid w:val="00521076"/>
    <w:rsid w:val="00523AF7"/>
    <w:rsid w:val="00523D00"/>
    <w:rsid w:val="005244A8"/>
    <w:rsid w:val="00524C11"/>
    <w:rsid w:val="005253C4"/>
    <w:rsid w:val="00525506"/>
    <w:rsid w:val="00526E48"/>
    <w:rsid w:val="00527151"/>
    <w:rsid w:val="00527339"/>
    <w:rsid w:val="00527794"/>
    <w:rsid w:val="00530B28"/>
    <w:rsid w:val="0053446F"/>
    <w:rsid w:val="00534A2D"/>
    <w:rsid w:val="00536189"/>
    <w:rsid w:val="00537CFC"/>
    <w:rsid w:val="005416C9"/>
    <w:rsid w:val="00542B01"/>
    <w:rsid w:val="005432B1"/>
    <w:rsid w:val="00543447"/>
    <w:rsid w:val="00543726"/>
    <w:rsid w:val="0054745F"/>
    <w:rsid w:val="00550AAE"/>
    <w:rsid w:val="005514E6"/>
    <w:rsid w:val="00551F01"/>
    <w:rsid w:val="005523AF"/>
    <w:rsid w:val="005538C3"/>
    <w:rsid w:val="00553AA2"/>
    <w:rsid w:val="0055431C"/>
    <w:rsid w:val="00554716"/>
    <w:rsid w:val="00555096"/>
    <w:rsid w:val="0055591D"/>
    <w:rsid w:val="00556665"/>
    <w:rsid w:val="005578AE"/>
    <w:rsid w:val="00557BE7"/>
    <w:rsid w:val="00560281"/>
    <w:rsid w:val="00560764"/>
    <w:rsid w:val="00561349"/>
    <w:rsid w:val="005619C3"/>
    <w:rsid w:val="00561B68"/>
    <w:rsid w:val="00562978"/>
    <w:rsid w:val="00562EA1"/>
    <w:rsid w:val="0056310C"/>
    <w:rsid w:val="005644E4"/>
    <w:rsid w:val="00564542"/>
    <w:rsid w:val="0056464F"/>
    <w:rsid w:val="00564A1D"/>
    <w:rsid w:val="00564FEA"/>
    <w:rsid w:val="005651DA"/>
    <w:rsid w:val="005658F6"/>
    <w:rsid w:val="00565D6B"/>
    <w:rsid w:val="00565DEF"/>
    <w:rsid w:val="00566169"/>
    <w:rsid w:val="005706BE"/>
    <w:rsid w:val="00570CF0"/>
    <w:rsid w:val="00571867"/>
    <w:rsid w:val="0057394A"/>
    <w:rsid w:val="00573C5A"/>
    <w:rsid w:val="00573C8B"/>
    <w:rsid w:val="00574D61"/>
    <w:rsid w:val="00575C61"/>
    <w:rsid w:val="00576B2A"/>
    <w:rsid w:val="00577B7A"/>
    <w:rsid w:val="00580017"/>
    <w:rsid w:val="0058088E"/>
    <w:rsid w:val="0058144A"/>
    <w:rsid w:val="0058243A"/>
    <w:rsid w:val="00582C8A"/>
    <w:rsid w:val="00583DC4"/>
    <w:rsid w:val="0058527C"/>
    <w:rsid w:val="00585328"/>
    <w:rsid w:val="005872C1"/>
    <w:rsid w:val="005879BC"/>
    <w:rsid w:val="00590C22"/>
    <w:rsid w:val="005913BD"/>
    <w:rsid w:val="0059233E"/>
    <w:rsid w:val="0059358F"/>
    <w:rsid w:val="00593681"/>
    <w:rsid w:val="005953A5"/>
    <w:rsid w:val="00595672"/>
    <w:rsid w:val="00595B85"/>
    <w:rsid w:val="005971BD"/>
    <w:rsid w:val="005A010F"/>
    <w:rsid w:val="005A0F2F"/>
    <w:rsid w:val="005A415C"/>
    <w:rsid w:val="005A49F4"/>
    <w:rsid w:val="005A4B06"/>
    <w:rsid w:val="005A5DD4"/>
    <w:rsid w:val="005A64AF"/>
    <w:rsid w:val="005A660D"/>
    <w:rsid w:val="005A6DE0"/>
    <w:rsid w:val="005A7BCD"/>
    <w:rsid w:val="005B01A1"/>
    <w:rsid w:val="005B15B7"/>
    <w:rsid w:val="005B1767"/>
    <w:rsid w:val="005B17D1"/>
    <w:rsid w:val="005B1B45"/>
    <w:rsid w:val="005B38B2"/>
    <w:rsid w:val="005B3A44"/>
    <w:rsid w:val="005B44AF"/>
    <w:rsid w:val="005B5CAF"/>
    <w:rsid w:val="005B7043"/>
    <w:rsid w:val="005C03D1"/>
    <w:rsid w:val="005C1178"/>
    <w:rsid w:val="005C2182"/>
    <w:rsid w:val="005C3441"/>
    <w:rsid w:val="005C3B23"/>
    <w:rsid w:val="005C4057"/>
    <w:rsid w:val="005C445F"/>
    <w:rsid w:val="005C45B9"/>
    <w:rsid w:val="005C59EA"/>
    <w:rsid w:val="005C5EA7"/>
    <w:rsid w:val="005D00B6"/>
    <w:rsid w:val="005D2AAF"/>
    <w:rsid w:val="005D2E00"/>
    <w:rsid w:val="005D4C59"/>
    <w:rsid w:val="005D4ECA"/>
    <w:rsid w:val="005D7689"/>
    <w:rsid w:val="005D7E72"/>
    <w:rsid w:val="005E0928"/>
    <w:rsid w:val="005E09EB"/>
    <w:rsid w:val="005E0C0F"/>
    <w:rsid w:val="005E34EB"/>
    <w:rsid w:val="005E3E69"/>
    <w:rsid w:val="005E4525"/>
    <w:rsid w:val="005E4AC4"/>
    <w:rsid w:val="005E4DA7"/>
    <w:rsid w:val="005E52CB"/>
    <w:rsid w:val="005E5D80"/>
    <w:rsid w:val="005E6001"/>
    <w:rsid w:val="005E68F6"/>
    <w:rsid w:val="005F0326"/>
    <w:rsid w:val="005F0CCF"/>
    <w:rsid w:val="005F2E34"/>
    <w:rsid w:val="005F345C"/>
    <w:rsid w:val="005F3AF9"/>
    <w:rsid w:val="005F5906"/>
    <w:rsid w:val="005F5B72"/>
    <w:rsid w:val="006000CB"/>
    <w:rsid w:val="00601C24"/>
    <w:rsid w:val="00601E93"/>
    <w:rsid w:val="00602A87"/>
    <w:rsid w:val="0060464D"/>
    <w:rsid w:val="00605BAD"/>
    <w:rsid w:val="0061002C"/>
    <w:rsid w:val="0061063B"/>
    <w:rsid w:val="0061083A"/>
    <w:rsid w:val="0061095C"/>
    <w:rsid w:val="00610E7D"/>
    <w:rsid w:val="00611C19"/>
    <w:rsid w:val="00611D1D"/>
    <w:rsid w:val="00612C7F"/>
    <w:rsid w:val="006130DF"/>
    <w:rsid w:val="006135EC"/>
    <w:rsid w:val="00613A70"/>
    <w:rsid w:val="00613C81"/>
    <w:rsid w:val="00613F5B"/>
    <w:rsid w:val="00614D8C"/>
    <w:rsid w:val="00615494"/>
    <w:rsid w:val="00616BA2"/>
    <w:rsid w:val="00617AD4"/>
    <w:rsid w:val="00617DA4"/>
    <w:rsid w:val="00620667"/>
    <w:rsid w:val="00621E71"/>
    <w:rsid w:val="00622E7D"/>
    <w:rsid w:val="00624830"/>
    <w:rsid w:val="006249A7"/>
    <w:rsid w:val="0062529B"/>
    <w:rsid w:val="006263B8"/>
    <w:rsid w:val="00627DD0"/>
    <w:rsid w:val="00632391"/>
    <w:rsid w:val="006329A6"/>
    <w:rsid w:val="006329F0"/>
    <w:rsid w:val="00634122"/>
    <w:rsid w:val="0063580A"/>
    <w:rsid w:val="00636332"/>
    <w:rsid w:val="006369F6"/>
    <w:rsid w:val="00636B43"/>
    <w:rsid w:val="006379EC"/>
    <w:rsid w:val="006404E5"/>
    <w:rsid w:val="006416A5"/>
    <w:rsid w:val="0064383C"/>
    <w:rsid w:val="00645D14"/>
    <w:rsid w:val="00645F35"/>
    <w:rsid w:val="006464C2"/>
    <w:rsid w:val="00647B74"/>
    <w:rsid w:val="006504E2"/>
    <w:rsid w:val="00650902"/>
    <w:rsid w:val="00650C6D"/>
    <w:rsid w:val="006539B4"/>
    <w:rsid w:val="00653DE8"/>
    <w:rsid w:val="00653F8F"/>
    <w:rsid w:val="006547D5"/>
    <w:rsid w:val="00654BD8"/>
    <w:rsid w:val="00655729"/>
    <w:rsid w:val="0065619D"/>
    <w:rsid w:val="00657C6F"/>
    <w:rsid w:val="00660147"/>
    <w:rsid w:val="00661416"/>
    <w:rsid w:val="006615E5"/>
    <w:rsid w:val="00662505"/>
    <w:rsid w:val="00663211"/>
    <w:rsid w:val="006634AA"/>
    <w:rsid w:val="00665336"/>
    <w:rsid w:val="0066603C"/>
    <w:rsid w:val="00666768"/>
    <w:rsid w:val="00671EA7"/>
    <w:rsid w:val="00673A2C"/>
    <w:rsid w:val="00674C1F"/>
    <w:rsid w:val="00676FE9"/>
    <w:rsid w:val="00677094"/>
    <w:rsid w:val="006774F2"/>
    <w:rsid w:val="00680ED2"/>
    <w:rsid w:val="006810CD"/>
    <w:rsid w:val="006825D9"/>
    <w:rsid w:val="00682CD5"/>
    <w:rsid w:val="00682F86"/>
    <w:rsid w:val="0068305B"/>
    <w:rsid w:val="00683AE1"/>
    <w:rsid w:val="00683DE5"/>
    <w:rsid w:val="00684175"/>
    <w:rsid w:val="00684895"/>
    <w:rsid w:val="00684990"/>
    <w:rsid w:val="006912CD"/>
    <w:rsid w:val="00692132"/>
    <w:rsid w:val="00692375"/>
    <w:rsid w:val="00692712"/>
    <w:rsid w:val="0069397C"/>
    <w:rsid w:val="00695441"/>
    <w:rsid w:val="00695A38"/>
    <w:rsid w:val="0069633D"/>
    <w:rsid w:val="006967B5"/>
    <w:rsid w:val="00696AF8"/>
    <w:rsid w:val="006A04B0"/>
    <w:rsid w:val="006A0751"/>
    <w:rsid w:val="006A0A97"/>
    <w:rsid w:val="006A21AE"/>
    <w:rsid w:val="006A2ED5"/>
    <w:rsid w:val="006A3137"/>
    <w:rsid w:val="006A37D8"/>
    <w:rsid w:val="006A48B4"/>
    <w:rsid w:val="006B0371"/>
    <w:rsid w:val="006B10D5"/>
    <w:rsid w:val="006B1338"/>
    <w:rsid w:val="006B16E3"/>
    <w:rsid w:val="006B1CCC"/>
    <w:rsid w:val="006B2599"/>
    <w:rsid w:val="006B2D39"/>
    <w:rsid w:val="006B2E56"/>
    <w:rsid w:val="006B3361"/>
    <w:rsid w:val="006B3E38"/>
    <w:rsid w:val="006B4AA4"/>
    <w:rsid w:val="006B6AB7"/>
    <w:rsid w:val="006C2660"/>
    <w:rsid w:val="006C34FF"/>
    <w:rsid w:val="006C4206"/>
    <w:rsid w:val="006C4B04"/>
    <w:rsid w:val="006C4B60"/>
    <w:rsid w:val="006C616A"/>
    <w:rsid w:val="006D07C0"/>
    <w:rsid w:val="006D1251"/>
    <w:rsid w:val="006D12E6"/>
    <w:rsid w:val="006D1685"/>
    <w:rsid w:val="006D170C"/>
    <w:rsid w:val="006D18FD"/>
    <w:rsid w:val="006D1965"/>
    <w:rsid w:val="006D26B9"/>
    <w:rsid w:val="006D51C8"/>
    <w:rsid w:val="006D534D"/>
    <w:rsid w:val="006D607C"/>
    <w:rsid w:val="006D68BA"/>
    <w:rsid w:val="006D7875"/>
    <w:rsid w:val="006E0202"/>
    <w:rsid w:val="006E0BC9"/>
    <w:rsid w:val="006E0E78"/>
    <w:rsid w:val="006E0EA3"/>
    <w:rsid w:val="006E1CF2"/>
    <w:rsid w:val="006E2729"/>
    <w:rsid w:val="006E39C6"/>
    <w:rsid w:val="006E4E3A"/>
    <w:rsid w:val="006E5651"/>
    <w:rsid w:val="006E5E72"/>
    <w:rsid w:val="006E5F98"/>
    <w:rsid w:val="006E6A27"/>
    <w:rsid w:val="006E79D4"/>
    <w:rsid w:val="006E7FF2"/>
    <w:rsid w:val="006F0298"/>
    <w:rsid w:val="006F1F1D"/>
    <w:rsid w:val="006F200B"/>
    <w:rsid w:val="006F4CAC"/>
    <w:rsid w:val="006F4F9E"/>
    <w:rsid w:val="006F54E4"/>
    <w:rsid w:val="006F61E6"/>
    <w:rsid w:val="006F7A22"/>
    <w:rsid w:val="006F7EED"/>
    <w:rsid w:val="00700E38"/>
    <w:rsid w:val="007024EF"/>
    <w:rsid w:val="00702CA8"/>
    <w:rsid w:val="00703A48"/>
    <w:rsid w:val="00704506"/>
    <w:rsid w:val="00705BF6"/>
    <w:rsid w:val="007065E5"/>
    <w:rsid w:val="0070727C"/>
    <w:rsid w:val="00710EA6"/>
    <w:rsid w:val="007114A8"/>
    <w:rsid w:val="00711F8C"/>
    <w:rsid w:val="00712BC4"/>
    <w:rsid w:val="00715A41"/>
    <w:rsid w:val="00717B95"/>
    <w:rsid w:val="00720D15"/>
    <w:rsid w:val="00722D26"/>
    <w:rsid w:val="00725993"/>
    <w:rsid w:val="00725A09"/>
    <w:rsid w:val="007261FF"/>
    <w:rsid w:val="007308AC"/>
    <w:rsid w:val="007326A6"/>
    <w:rsid w:val="00732881"/>
    <w:rsid w:val="007334EE"/>
    <w:rsid w:val="007339CF"/>
    <w:rsid w:val="00733CA0"/>
    <w:rsid w:val="00733F5B"/>
    <w:rsid w:val="007345BE"/>
    <w:rsid w:val="00734962"/>
    <w:rsid w:val="00736624"/>
    <w:rsid w:val="007401E5"/>
    <w:rsid w:val="007424A2"/>
    <w:rsid w:val="007425F5"/>
    <w:rsid w:val="007427D0"/>
    <w:rsid w:val="00742F87"/>
    <w:rsid w:val="007450DF"/>
    <w:rsid w:val="007462E7"/>
    <w:rsid w:val="00751AA8"/>
    <w:rsid w:val="00754872"/>
    <w:rsid w:val="00754AA8"/>
    <w:rsid w:val="00756380"/>
    <w:rsid w:val="00757AAA"/>
    <w:rsid w:val="00760799"/>
    <w:rsid w:val="00760BF2"/>
    <w:rsid w:val="00762C61"/>
    <w:rsid w:val="007652E7"/>
    <w:rsid w:val="0076539A"/>
    <w:rsid w:val="00765E21"/>
    <w:rsid w:val="00765EAB"/>
    <w:rsid w:val="00766F74"/>
    <w:rsid w:val="00767F6F"/>
    <w:rsid w:val="007724EF"/>
    <w:rsid w:val="00772898"/>
    <w:rsid w:val="00772B10"/>
    <w:rsid w:val="00772CFC"/>
    <w:rsid w:val="0077340C"/>
    <w:rsid w:val="0077350B"/>
    <w:rsid w:val="0077599C"/>
    <w:rsid w:val="00775D97"/>
    <w:rsid w:val="00775D9C"/>
    <w:rsid w:val="00776ED8"/>
    <w:rsid w:val="00780822"/>
    <w:rsid w:val="00780C03"/>
    <w:rsid w:val="00781742"/>
    <w:rsid w:val="00781967"/>
    <w:rsid w:val="00781B85"/>
    <w:rsid w:val="00782F5D"/>
    <w:rsid w:val="00785CCD"/>
    <w:rsid w:val="00787366"/>
    <w:rsid w:val="00787534"/>
    <w:rsid w:val="007930DA"/>
    <w:rsid w:val="0079334E"/>
    <w:rsid w:val="00794535"/>
    <w:rsid w:val="00795FFF"/>
    <w:rsid w:val="0079695F"/>
    <w:rsid w:val="00796B40"/>
    <w:rsid w:val="00796E6D"/>
    <w:rsid w:val="00797B7E"/>
    <w:rsid w:val="007A005D"/>
    <w:rsid w:val="007A0332"/>
    <w:rsid w:val="007A132D"/>
    <w:rsid w:val="007A2898"/>
    <w:rsid w:val="007A4E8B"/>
    <w:rsid w:val="007A646C"/>
    <w:rsid w:val="007A6705"/>
    <w:rsid w:val="007A7BBD"/>
    <w:rsid w:val="007A7EFF"/>
    <w:rsid w:val="007B0A75"/>
    <w:rsid w:val="007B0C71"/>
    <w:rsid w:val="007B0D1C"/>
    <w:rsid w:val="007B29B4"/>
    <w:rsid w:val="007B3AE0"/>
    <w:rsid w:val="007B46F8"/>
    <w:rsid w:val="007B634F"/>
    <w:rsid w:val="007B6CA8"/>
    <w:rsid w:val="007C0BD4"/>
    <w:rsid w:val="007C1DC4"/>
    <w:rsid w:val="007C2BB0"/>
    <w:rsid w:val="007C3354"/>
    <w:rsid w:val="007C43C7"/>
    <w:rsid w:val="007C4BE7"/>
    <w:rsid w:val="007C4C54"/>
    <w:rsid w:val="007C4E94"/>
    <w:rsid w:val="007C5214"/>
    <w:rsid w:val="007C542D"/>
    <w:rsid w:val="007C5FE5"/>
    <w:rsid w:val="007C60D1"/>
    <w:rsid w:val="007C6B51"/>
    <w:rsid w:val="007D1A51"/>
    <w:rsid w:val="007D2798"/>
    <w:rsid w:val="007D3EF1"/>
    <w:rsid w:val="007D44AE"/>
    <w:rsid w:val="007D5EF5"/>
    <w:rsid w:val="007D74B3"/>
    <w:rsid w:val="007D75B0"/>
    <w:rsid w:val="007D7822"/>
    <w:rsid w:val="007E021A"/>
    <w:rsid w:val="007E040B"/>
    <w:rsid w:val="007E083F"/>
    <w:rsid w:val="007E0E9B"/>
    <w:rsid w:val="007E213E"/>
    <w:rsid w:val="007E25FB"/>
    <w:rsid w:val="007E5590"/>
    <w:rsid w:val="007E5591"/>
    <w:rsid w:val="007E5785"/>
    <w:rsid w:val="007E6096"/>
    <w:rsid w:val="007E61C9"/>
    <w:rsid w:val="007E6B82"/>
    <w:rsid w:val="007E7BF6"/>
    <w:rsid w:val="007F0947"/>
    <w:rsid w:val="007F0B26"/>
    <w:rsid w:val="007F102D"/>
    <w:rsid w:val="007F35EA"/>
    <w:rsid w:val="007F587F"/>
    <w:rsid w:val="007F62DE"/>
    <w:rsid w:val="007F7E41"/>
    <w:rsid w:val="00801A88"/>
    <w:rsid w:val="00802BFC"/>
    <w:rsid w:val="00803DC4"/>
    <w:rsid w:val="00804BE3"/>
    <w:rsid w:val="00805898"/>
    <w:rsid w:val="00807620"/>
    <w:rsid w:val="00807FDB"/>
    <w:rsid w:val="00810231"/>
    <w:rsid w:val="008109FB"/>
    <w:rsid w:val="00810F1D"/>
    <w:rsid w:val="00813173"/>
    <w:rsid w:val="008140A2"/>
    <w:rsid w:val="008170B0"/>
    <w:rsid w:val="00820A79"/>
    <w:rsid w:val="00821BCC"/>
    <w:rsid w:val="0082408B"/>
    <w:rsid w:val="008255A4"/>
    <w:rsid w:val="008273BC"/>
    <w:rsid w:val="00827A3C"/>
    <w:rsid w:val="00830649"/>
    <w:rsid w:val="008311E1"/>
    <w:rsid w:val="008314A7"/>
    <w:rsid w:val="008328E9"/>
    <w:rsid w:val="00833CB1"/>
    <w:rsid w:val="00834A12"/>
    <w:rsid w:val="00835913"/>
    <w:rsid w:val="00835BCD"/>
    <w:rsid w:val="00835C6E"/>
    <w:rsid w:val="008415BB"/>
    <w:rsid w:val="0084173B"/>
    <w:rsid w:val="00841C13"/>
    <w:rsid w:val="00841F09"/>
    <w:rsid w:val="00843B2E"/>
    <w:rsid w:val="00843C22"/>
    <w:rsid w:val="00845DB6"/>
    <w:rsid w:val="00846FE3"/>
    <w:rsid w:val="00847599"/>
    <w:rsid w:val="008506CE"/>
    <w:rsid w:val="00850CDA"/>
    <w:rsid w:val="00851793"/>
    <w:rsid w:val="008519DB"/>
    <w:rsid w:val="0085448E"/>
    <w:rsid w:val="0085453E"/>
    <w:rsid w:val="008565D8"/>
    <w:rsid w:val="00856C2F"/>
    <w:rsid w:val="00857D9D"/>
    <w:rsid w:val="00857FFC"/>
    <w:rsid w:val="00860E8B"/>
    <w:rsid w:val="008611DB"/>
    <w:rsid w:val="008625EF"/>
    <w:rsid w:val="008657CC"/>
    <w:rsid w:val="00866562"/>
    <w:rsid w:val="0086695A"/>
    <w:rsid w:val="00866A2A"/>
    <w:rsid w:val="00870530"/>
    <w:rsid w:val="00870DAB"/>
    <w:rsid w:val="00871965"/>
    <w:rsid w:val="00872339"/>
    <w:rsid w:val="00872642"/>
    <w:rsid w:val="00872FE6"/>
    <w:rsid w:val="00874236"/>
    <w:rsid w:val="008748EB"/>
    <w:rsid w:val="00875303"/>
    <w:rsid w:val="00875EB5"/>
    <w:rsid w:val="00876FA6"/>
    <w:rsid w:val="0088182C"/>
    <w:rsid w:val="00882D93"/>
    <w:rsid w:val="00884169"/>
    <w:rsid w:val="00885341"/>
    <w:rsid w:val="008855BB"/>
    <w:rsid w:val="008859FE"/>
    <w:rsid w:val="00885BFB"/>
    <w:rsid w:val="0088676F"/>
    <w:rsid w:val="00886A08"/>
    <w:rsid w:val="00891FA6"/>
    <w:rsid w:val="00892556"/>
    <w:rsid w:val="00894A1A"/>
    <w:rsid w:val="00894AEF"/>
    <w:rsid w:val="00894D16"/>
    <w:rsid w:val="00895B5F"/>
    <w:rsid w:val="00895FC6"/>
    <w:rsid w:val="00896349"/>
    <w:rsid w:val="00896B4A"/>
    <w:rsid w:val="008A06A8"/>
    <w:rsid w:val="008A08C7"/>
    <w:rsid w:val="008A23E7"/>
    <w:rsid w:val="008A2775"/>
    <w:rsid w:val="008A39C2"/>
    <w:rsid w:val="008A43B2"/>
    <w:rsid w:val="008A6C7C"/>
    <w:rsid w:val="008A6D32"/>
    <w:rsid w:val="008B0C3B"/>
    <w:rsid w:val="008B28D6"/>
    <w:rsid w:val="008B2CE6"/>
    <w:rsid w:val="008B2D93"/>
    <w:rsid w:val="008B35EF"/>
    <w:rsid w:val="008B3DE5"/>
    <w:rsid w:val="008B42E7"/>
    <w:rsid w:val="008B77C9"/>
    <w:rsid w:val="008C0088"/>
    <w:rsid w:val="008C0158"/>
    <w:rsid w:val="008C1947"/>
    <w:rsid w:val="008C19B2"/>
    <w:rsid w:val="008C1B19"/>
    <w:rsid w:val="008C1F5B"/>
    <w:rsid w:val="008C2215"/>
    <w:rsid w:val="008C29DC"/>
    <w:rsid w:val="008C428C"/>
    <w:rsid w:val="008C4CF6"/>
    <w:rsid w:val="008C4D47"/>
    <w:rsid w:val="008C6BFB"/>
    <w:rsid w:val="008D0010"/>
    <w:rsid w:val="008D0682"/>
    <w:rsid w:val="008D1EB5"/>
    <w:rsid w:val="008D42C4"/>
    <w:rsid w:val="008D42F0"/>
    <w:rsid w:val="008D469C"/>
    <w:rsid w:val="008D473B"/>
    <w:rsid w:val="008D4D0B"/>
    <w:rsid w:val="008D537E"/>
    <w:rsid w:val="008D6EAE"/>
    <w:rsid w:val="008D70FA"/>
    <w:rsid w:val="008D72C3"/>
    <w:rsid w:val="008E1B01"/>
    <w:rsid w:val="008E276E"/>
    <w:rsid w:val="008E31AD"/>
    <w:rsid w:val="008E3251"/>
    <w:rsid w:val="008E3BBA"/>
    <w:rsid w:val="008E4DE8"/>
    <w:rsid w:val="008E576D"/>
    <w:rsid w:val="008E673D"/>
    <w:rsid w:val="008E77CD"/>
    <w:rsid w:val="008E780D"/>
    <w:rsid w:val="008E7F75"/>
    <w:rsid w:val="008F1CC9"/>
    <w:rsid w:val="008F4FC8"/>
    <w:rsid w:val="008F5458"/>
    <w:rsid w:val="008F5B93"/>
    <w:rsid w:val="008F690F"/>
    <w:rsid w:val="00901527"/>
    <w:rsid w:val="009017A4"/>
    <w:rsid w:val="00902B21"/>
    <w:rsid w:val="00904946"/>
    <w:rsid w:val="009057CD"/>
    <w:rsid w:val="009057D3"/>
    <w:rsid w:val="00910155"/>
    <w:rsid w:val="009117F4"/>
    <w:rsid w:val="00911CF4"/>
    <w:rsid w:val="00911F8F"/>
    <w:rsid w:val="009121E3"/>
    <w:rsid w:val="00913014"/>
    <w:rsid w:val="00914062"/>
    <w:rsid w:val="009144E3"/>
    <w:rsid w:val="00914D98"/>
    <w:rsid w:val="0091540F"/>
    <w:rsid w:val="009160CA"/>
    <w:rsid w:val="009168A4"/>
    <w:rsid w:val="00917B61"/>
    <w:rsid w:val="00917E97"/>
    <w:rsid w:val="00917F82"/>
    <w:rsid w:val="00920A56"/>
    <w:rsid w:val="00920CE2"/>
    <w:rsid w:val="00921A3C"/>
    <w:rsid w:val="00921C50"/>
    <w:rsid w:val="00924B15"/>
    <w:rsid w:val="00924B7E"/>
    <w:rsid w:val="0092592F"/>
    <w:rsid w:val="009318D4"/>
    <w:rsid w:val="0093198A"/>
    <w:rsid w:val="00931FC8"/>
    <w:rsid w:val="009352A1"/>
    <w:rsid w:val="00935BF5"/>
    <w:rsid w:val="00941489"/>
    <w:rsid w:val="00942FC2"/>
    <w:rsid w:val="009435F6"/>
    <w:rsid w:val="00944B8B"/>
    <w:rsid w:val="00946D8E"/>
    <w:rsid w:val="009477AE"/>
    <w:rsid w:val="0094782C"/>
    <w:rsid w:val="00947E5F"/>
    <w:rsid w:val="009519C1"/>
    <w:rsid w:val="00951B61"/>
    <w:rsid w:val="00952DB2"/>
    <w:rsid w:val="00952F36"/>
    <w:rsid w:val="00952F49"/>
    <w:rsid w:val="009530FA"/>
    <w:rsid w:val="009531E1"/>
    <w:rsid w:val="009539AA"/>
    <w:rsid w:val="009560DF"/>
    <w:rsid w:val="00956999"/>
    <w:rsid w:val="0096001F"/>
    <w:rsid w:val="00961B3D"/>
    <w:rsid w:val="00961C16"/>
    <w:rsid w:val="009625B4"/>
    <w:rsid w:val="0096263F"/>
    <w:rsid w:val="00964C01"/>
    <w:rsid w:val="00965471"/>
    <w:rsid w:val="009663AC"/>
    <w:rsid w:val="0096762A"/>
    <w:rsid w:val="00967634"/>
    <w:rsid w:val="00967960"/>
    <w:rsid w:val="0097152F"/>
    <w:rsid w:val="00971829"/>
    <w:rsid w:val="0097188A"/>
    <w:rsid w:val="00977868"/>
    <w:rsid w:val="00977D9D"/>
    <w:rsid w:val="009830A2"/>
    <w:rsid w:val="00983BF7"/>
    <w:rsid w:val="00985905"/>
    <w:rsid w:val="00985FDC"/>
    <w:rsid w:val="00987A9F"/>
    <w:rsid w:val="00992488"/>
    <w:rsid w:val="00992E9A"/>
    <w:rsid w:val="00993633"/>
    <w:rsid w:val="00993C1C"/>
    <w:rsid w:val="00994D2A"/>
    <w:rsid w:val="00995C5A"/>
    <w:rsid w:val="00995E1E"/>
    <w:rsid w:val="00996CDB"/>
    <w:rsid w:val="00996DF3"/>
    <w:rsid w:val="0099707A"/>
    <w:rsid w:val="009A2C54"/>
    <w:rsid w:val="009A2E09"/>
    <w:rsid w:val="009A67DE"/>
    <w:rsid w:val="009A78FA"/>
    <w:rsid w:val="009B107A"/>
    <w:rsid w:val="009B1B20"/>
    <w:rsid w:val="009B283C"/>
    <w:rsid w:val="009B3F8D"/>
    <w:rsid w:val="009B4A7B"/>
    <w:rsid w:val="009B4CB2"/>
    <w:rsid w:val="009B5368"/>
    <w:rsid w:val="009B54AE"/>
    <w:rsid w:val="009C093A"/>
    <w:rsid w:val="009C0E5A"/>
    <w:rsid w:val="009C1022"/>
    <w:rsid w:val="009C1BD9"/>
    <w:rsid w:val="009C238F"/>
    <w:rsid w:val="009C2E75"/>
    <w:rsid w:val="009C578F"/>
    <w:rsid w:val="009C67A0"/>
    <w:rsid w:val="009C6D91"/>
    <w:rsid w:val="009D0303"/>
    <w:rsid w:val="009D1A58"/>
    <w:rsid w:val="009D343B"/>
    <w:rsid w:val="009D5229"/>
    <w:rsid w:val="009D5CE6"/>
    <w:rsid w:val="009D6113"/>
    <w:rsid w:val="009D72A7"/>
    <w:rsid w:val="009D73F2"/>
    <w:rsid w:val="009D7B5B"/>
    <w:rsid w:val="009E2107"/>
    <w:rsid w:val="009E2639"/>
    <w:rsid w:val="009E4124"/>
    <w:rsid w:val="009E4FD9"/>
    <w:rsid w:val="009E5DDF"/>
    <w:rsid w:val="009E6237"/>
    <w:rsid w:val="009E69E5"/>
    <w:rsid w:val="009E6B7D"/>
    <w:rsid w:val="009F0757"/>
    <w:rsid w:val="009F1EF7"/>
    <w:rsid w:val="009F2382"/>
    <w:rsid w:val="009F3084"/>
    <w:rsid w:val="009F35B1"/>
    <w:rsid w:val="009F4894"/>
    <w:rsid w:val="009F5C73"/>
    <w:rsid w:val="009F5F7B"/>
    <w:rsid w:val="009F6232"/>
    <w:rsid w:val="009F6610"/>
    <w:rsid w:val="009F78A3"/>
    <w:rsid w:val="00A00116"/>
    <w:rsid w:val="00A00F20"/>
    <w:rsid w:val="00A01031"/>
    <w:rsid w:val="00A027CB"/>
    <w:rsid w:val="00A03E28"/>
    <w:rsid w:val="00A04965"/>
    <w:rsid w:val="00A0558E"/>
    <w:rsid w:val="00A07551"/>
    <w:rsid w:val="00A079CB"/>
    <w:rsid w:val="00A103AC"/>
    <w:rsid w:val="00A106D6"/>
    <w:rsid w:val="00A11416"/>
    <w:rsid w:val="00A128CA"/>
    <w:rsid w:val="00A12946"/>
    <w:rsid w:val="00A14B7A"/>
    <w:rsid w:val="00A15501"/>
    <w:rsid w:val="00A1677F"/>
    <w:rsid w:val="00A20E6A"/>
    <w:rsid w:val="00A21353"/>
    <w:rsid w:val="00A21AA3"/>
    <w:rsid w:val="00A2390A"/>
    <w:rsid w:val="00A262E6"/>
    <w:rsid w:val="00A315EF"/>
    <w:rsid w:val="00A33917"/>
    <w:rsid w:val="00A35229"/>
    <w:rsid w:val="00A3604F"/>
    <w:rsid w:val="00A3663B"/>
    <w:rsid w:val="00A37151"/>
    <w:rsid w:val="00A3752A"/>
    <w:rsid w:val="00A37E60"/>
    <w:rsid w:val="00A37EA0"/>
    <w:rsid w:val="00A4028F"/>
    <w:rsid w:val="00A41086"/>
    <w:rsid w:val="00A41F7D"/>
    <w:rsid w:val="00A42957"/>
    <w:rsid w:val="00A44D84"/>
    <w:rsid w:val="00A45B57"/>
    <w:rsid w:val="00A47599"/>
    <w:rsid w:val="00A47BA4"/>
    <w:rsid w:val="00A5080A"/>
    <w:rsid w:val="00A50F4C"/>
    <w:rsid w:val="00A511B5"/>
    <w:rsid w:val="00A51C68"/>
    <w:rsid w:val="00A51DC6"/>
    <w:rsid w:val="00A51E69"/>
    <w:rsid w:val="00A523AE"/>
    <w:rsid w:val="00A52543"/>
    <w:rsid w:val="00A52AA6"/>
    <w:rsid w:val="00A53351"/>
    <w:rsid w:val="00A54911"/>
    <w:rsid w:val="00A54C11"/>
    <w:rsid w:val="00A56356"/>
    <w:rsid w:val="00A56EFB"/>
    <w:rsid w:val="00A579A8"/>
    <w:rsid w:val="00A57D4C"/>
    <w:rsid w:val="00A57DBD"/>
    <w:rsid w:val="00A604C8"/>
    <w:rsid w:val="00A61688"/>
    <w:rsid w:val="00A61BE7"/>
    <w:rsid w:val="00A63D87"/>
    <w:rsid w:val="00A6494B"/>
    <w:rsid w:val="00A64A08"/>
    <w:rsid w:val="00A64E05"/>
    <w:rsid w:val="00A672D0"/>
    <w:rsid w:val="00A6784C"/>
    <w:rsid w:val="00A70546"/>
    <w:rsid w:val="00A71164"/>
    <w:rsid w:val="00A71309"/>
    <w:rsid w:val="00A71400"/>
    <w:rsid w:val="00A724AD"/>
    <w:rsid w:val="00A73269"/>
    <w:rsid w:val="00A73A35"/>
    <w:rsid w:val="00A73FFE"/>
    <w:rsid w:val="00A74404"/>
    <w:rsid w:val="00A74FCD"/>
    <w:rsid w:val="00A75245"/>
    <w:rsid w:val="00A76A2A"/>
    <w:rsid w:val="00A800FE"/>
    <w:rsid w:val="00A8035E"/>
    <w:rsid w:val="00A804AB"/>
    <w:rsid w:val="00A82008"/>
    <w:rsid w:val="00A84F54"/>
    <w:rsid w:val="00A86289"/>
    <w:rsid w:val="00A9132E"/>
    <w:rsid w:val="00A91B1D"/>
    <w:rsid w:val="00A91D1A"/>
    <w:rsid w:val="00A93918"/>
    <w:rsid w:val="00A9464A"/>
    <w:rsid w:val="00A96777"/>
    <w:rsid w:val="00A96FF0"/>
    <w:rsid w:val="00A97CB5"/>
    <w:rsid w:val="00AA0BC2"/>
    <w:rsid w:val="00AA0C4A"/>
    <w:rsid w:val="00AA17EA"/>
    <w:rsid w:val="00AA3842"/>
    <w:rsid w:val="00AB0E19"/>
    <w:rsid w:val="00AB1002"/>
    <w:rsid w:val="00AB2832"/>
    <w:rsid w:val="00AB28A8"/>
    <w:rsid w:val="00AB2F05"/>
    <w:rsid w:val="00AB35EB"/>
    <w:rsid w:val="00AB46B1"/>
    <w:rsid w:val="00AB4D1E"/>
    <w:rsid w:val="00AB551A"/>
    <w:rsid w:val="00AB5E52"/>
    <w:rsid w:val="00AB754B"/>
    <w:rsid w:val="00AB7D95"/>
    <w:rsid w:val="00AC0093"/>
    <w:rsid w:val="00AC1A69"/>
    <w:rsid w:val="00AC25A6"/>
    <w:rsid w:val="00AC39BA"/>
    <w:rsid w:val="00AC3FAD"/>
    <w:rsid w:val="00AC52AE"/>
    <w:rsid w:val="00AD0177"/>
    <w:rsid w:val="00AD08A6"/>
    <w:rsid w:val="00AD0EAB"/>
    <w:rsid w:val="00AD15C3"/>
    <w:rsid w:val="00AD1A31"/>
    <w:rsid w:val="00AD1FA2"/>
    <w:rsid w:val="00AD3B68"/>
    <w:rsid w:val="00AD421A"/>
    <w:rsid w:val="00AD580B"/>
    <w:rsid w:val="00AD7966"/>
    <w:rsid w:val="00AD7F4B"/>
    <w:rsid w:val="00AE0A7D"/>
    <w:rsid w:val="00AE103D"/>
    <w:rsid w:val="00AE3AEA"/>
    <w:rsid w:val="00AE47EC"/>
    <w:rsid w:val="00AE4E23"/>
    <w:rsid w:val="00AE5847"/>
    <w:rsid w:val="00AE5922"/>
    <w:rsid w:val="00AE596E"/>
    <w:rsid w:val="00AE5D3A"/>
    <w:rsid w:val="00AE6849"/>
    <w:rsid w:val="00AE7591"/>
    <w:rsid w:val="00AE7B30"/>
    <w:rsid w:val="00AF0D52"/>
    <w:rsid w:val="00AF175D"/>
    <w:rsid w:val="00AF2E6E"/>
    <w:rsid w:val="00AF59E4"/>
    <w:rsid w:val="00AF5AA0"/>
    <w:rsid w:val="00AF5D89"/>
    <w:rsid w:val="00AF63DA"/>
    <w:rsid w:val="00AF68EF"/>
    <w:rsid w:val="00AF71FF"/>
    <w:rsid w:val="00AF78FF"/>
    <w:rsid w:val="00AF7DF9"/>
    <w:rsid w:val="00B00551"/>
    <w:rsid w:val="00B0321C"/>
    <w:rsid w:val="00B05926"/>
    <w:rsid w:val="00B06B72"/>
    <w:rsid w:val="00B111C9"/>
    <w:rsid w:val="00B1152D"/>
    <w:rsid w:val="00B1279D"/>
    <w:rsid w:val="00B12AF8"/>
    <w:rsid w:val="00B12E0E"/>
    <w:rsid w:val="00B13C08"/>
    <w:rsid w:val="00B15664"/>
    <w:rsid w:val="00B15ADA"/>
    <w:rsid w:val="00B163EB"/>
    <w:rsid w:val="00B1651A"/>
    <w:rsid w:val="00B17BBD"/>
    <w:rsid w:val="00B21467"/>
    <w:rsid w:val="00B21D1E"/>
    <w:rsid w:val="00B2326C"/>
    <w:rsid w:val="00B235C0"/>
    <w:rsid w:val="00B24E1C"/>
    <w:rsid w:val="00B25677"/>
    <w:rsid w:val="00B27635"/>
    <w:rsid w:val="00B3126E"/>
    <w:rsid w:val="00B330D0"/>
    <w:rsid w:val="00B3318F"/>
    <w:rsid w:val="00B33A21"/>
    <w:rsid w:val="00B33A4D"/>
    <w:rsid w:val="00B349CB"/>
    <w:rsid w:val="00B35F3F"/>
    <w:rsid w:val="00B35FFD"/>
    <w:rsid w:val="00B360E9"/>
    <w:rsid w:val="00B40B2D"/>
    <w:rsid w:val="00B4283A"/>
    <w:rsid w:val="00B43EAB"/>
    <w:rsid w:val="00B44154"/>
    <w:rsid w:val="00B45C4D"/>
    <w:rsid w:val="00B45C77"/>
    <w:rsid w:val="00B5078E"/>
    <w:rsid w:val="00B50F36"/>
    <w:rsid w:val="00B5251D"/>
    <w:rsid w:val="00B5333A"/>
    <w:rsid w:val="00B5413F"/>
    <w:rsid w:val="00B541B6"/>
    <w:rsid w:val="00B54517"/>
    <w:rsid w:val="00B54E6C"/>
    <w:rsid w:val="00B54FFE"/>
    <w:rsid w:val="00B55D63"/>
    <w:rsid w:val="00B56317"/>
    <w:rsid w:val="00B565FD"/>
    <w:rsid w:val="00B616A5"/>
    <w:rsid w:val="00B638BC"/>
    <w:rsid w:val="00B64D63"/>
    <w:rsid w:val="00B6549B"/>
    <w:rsid w:val="00B66459"/>
    <w:rsid w:val="00B66865"/>
    <w:rsid w:val="00B66DBB"/>
    <w:rsid w:val="00B70DD4"/>
    <w:rsid w:val="00B722B4"/>
    <w:rsid w:val="00B7247D"/>
    <w:rsid w:val="00B72F77"/>
    <w:rsid w:val="00B733FF"/>
    <w:rsid w:val="00B74E3E"/>
    <w:rsid w:val="00B75966"/>
    <w:rsid w:val="00B75E1D"/>
    <w:rsid w:val="00B763EE"/>
    <w:rsid w:val="00B76B4A"/>
    <w:rsid w:val="00B77114"/>
    <w:rsid w:val="00B77F92"/>
    <w:rsid w:val="00B8163F"/>
    <w:rsid w:val="00B84887"/>
    <w:rsid w:val="00B8624D"/>
    <w:rsid w:val="00B863A8"/>
    <w:rsid w:val="00B86E96"/>
    <w:rsid w:val="00B91AF6"/>
    <w:rsid w:val="00B9410A"/>
    <w:rsid w:val="00B95C50"/>
    <w:rsid w:val="00B95DCC"/>
    <w:rsid w:val="00B96087"/>
    <w:rsid w:val="00B9688F"/>
    <w:rsid w:val="00B97C4E"/>
    <w:rsid w:val="00BA0BFF"/>
    <w:rsid w:val="00BA0EB0"/>
    <w:rsid w:val="00BA1015"/>
    <w:rsid w:val="00BA1508"/>
    <w:rsid w:val="00BA15E5"/>
    <w:rsid w:val="00BA1C80"/>
    <w:rsid w:val="00BA4FB3"/>
    <w:rsid w:val="00BA5FF6"/>
    <w:rsid w:val="00BA664F"/>
    <w:rsid w:val="00BA66F0"/>
    <w:rsid w:val="00BA6CE9"/>
    <w:rsid w:val="00BA733E"/>
    <w:rsid w:val="00BA78C5"/>
    <w:rsid w:val="00BB3DC6"/>
    <w:rsid w:val="00BB5E7B"/>
    <w:rsid w:val="00BB6FE1"/>
    <w:rsid w:val="00BB7BCF"/>
    <w:rsid w:val="00BB7E45"/>
    <w:rsid w:val="00BC035D"/>
    <w:rsid w:val="00BC3699"/>
    <w:rsid w:val="00BC3F60"/>
    <w:rsid w:val="00BC5C84"/>
    <w:rsid w:val="00BC6F02"/>
    <w:rsid w:val="00BD098D"/>
    <w:rsid w:val="00BD0E06"/>
    <w:rsid w:val="00BD139F"/>
    <w:rsid w:val="00BD1A2D"/>
    <w:rsid w:val="00BD3FB2"/>
    <w:rsid w:val="00BD461F"/>
    <w:rsid w:val="00BD5E86"/>
    <w:rsid w:val="00BD6E7D"/>
    <w:rsid w:val="00BE0D9D"/>
    <w:rsid w:val="00BE35F4"/>
    <w:rsid w:val="00BE37A2"/>
    <w:rsid w:val="00BE37EB"/>
    <w:rsid w:val="00BE420C"/>
    <w:rsid w:val="00BE4C69"/>
    <w:rsid w:val="00BE4EEB"/>
    <w:rsid w:val="00BE6BF3"/>
    <w:rsid w:val="00BE7BC6"/>
    <w:rsid w:val="00BF2331"/>
    <w:rsid w:val="00BF39DB"/>
    <w:rsid w:val="00BF5BFB"/>
    <w:rsid w:val="00BF74E1"/>
    <w:rsid w:val="00BF7AB2"/>
    <w:rsid w:val="00C001D0"/>
    <w:rsid w:val="00C0119B"/>
    <w:rsid w:val="00C0231E"/>
    <w:rsid w:val="00C04B1C"/>
    <w:rsid w:val="00C074AE"/>
    <w:rsid w:val="00C10691"/>
    <w:rsid w:val="00C10F03"/>
    <w:rsid w:val="00C1134C"/>
    <w:rsid w:val="00C1190B"/>
    <w:rsid w:val="00C11DD9"/>
    <w:rsid w:val="00C1267B"/>
    <w:rsid w:val="00C13442"/>
    <w:rsid w:val="00C13A6A"/>
    <w:rsid w:val="00C13B5D"/>
    <w:rsid w:val="00C161D0"/>
    <w:rsid w:val="00C16403"/>
    <w:rsid w:val="00C16A89"/>
    <w:rsid w:val="00C200B6"/>
    <w:rsid w:val="00C230E2"/>
    <w:rsid w:val="00C23B73"/>
    <w:rsid w:val="00C23CF4"/>
    <w:rsid w:val="00C24385"/>
    <w:rsid w:val="00C24D34"/>
    <w:rsid w:val="00C307F8"/>
    <w:rsid w:val="00C32294"/>
    <w:rsid w:val="00C32C2F"/>
    <w:rsid w:val="00C33914"/>
    <w:rsid w:val="00C36A77"/>
    <w:rsid w:val="00C36D98"/>
    <w:rsid w:val="00C3749F"/>
    <w:rsid w:val="00C37BEE"/>
    <w:rsid w:val="00C4094F"/>
    <w:rsid w:val="00C409BF"/>
    <w:rsid w:val="00C42601"/>
    <w:rsid w:val="00C43D1F"/>
    <w:rsid w:val="00C4417D"/>
    <w:rsid w:val="00C45282"/>
    <w:rsid w:val="00C45AE1"/>
    <w:rsid w:val="00C46448"/>
    <w:rsid w:val="00C5077C"/>
    <w:rsid w:val="00C52490"/>
    <w:rsid w:val="00C52AA0"/>
    <w:rsid w:val="00C5371B"/>
    <w:rsid w:val="00C542FF"/>
    <w:rsid w:val="00C5434D"/>
    <w:rsid w:val="00C55FE3"/>
    <w:rsid w:val="00C56E57"/>
    <w:rsid w:val="00C57AB1"/>
    <w:rsid w:val="00C60F96"/>
    <w:rsid w:val="00C63357"/>
    <w:rsid w:val="00C63CF1"/>
    <w:rsid w:val="00C63D1F"/>
    <w:rsid w:val="00C64904"/>
    <w:rsid w:val="00C65E26"/>
    <w:rsid w:val="00C669A7"/>
    <w:rsid w:val="00C6790F"/>
    <w:rsid w:val="00C7090A"/>
    <w:rsid w:val="00C70DCE"/>
    <w:rsid w:val="00C7109E"/>
    <w:rsid w:val="00C7152B"/>
    <w:rsid w:val="00C72461"/>
    <w:rsid w:val="00C72DB7"/>
    <w:rsid w:val="00C72FF9"/>
    <w:rsid w:val="00C74E13"/>
    <w:rsid w:val="00C74F07"/>
    <w:rsid w:val="00C758F1"/>
    <w:rsid w:val="00C761CE"/>
    <w:rsid w:val="00C80A17"/>
    <w:rsid w:val="00C80F8C"/>
    <w:rsid w:val="00C8102C"/>
    <w:rsid w:val="00C8295F"/>
    <w:rsid w:val="00C832B9"/>
    <w:rsid w:val="00C83B7D"/>
    <w:rsid w:val="00C8595F"/>
    <w:rsid w:val="00C90E0E"/>
    <w:rsid w:val="00C91FD8"/>
    <w:rsid w:val="00C938FF"/>
    <w:rsid w:val="00C93CD8"/>
    <w:rsid w:val="00C93D3D"/>
    <w:rsid w:val="00C947D6"/>
    <w:rsid w:val="00C978FA"/>
    <w:rsid w:val="00CA1D4A"/>
    <w:rsid w:val="00CA2120"/>
    <w:rsid w:val="00CA26F1"/>
    <w:rsid w:val="00CA30AC"/>
    <w:rsid w:val="00CA43D4"/>
    <w:rsid w:val="00CA54D2"/>
    <w:rsid w:val="00CA6268"/>
    <w:rsid w:val="00CA6F7F"/>
    <w:rsid w:val="00CB015F"/>
    <w:rsid w:val="00CB08B8"/>
    <w:rsid w:val="00CB18CB"/>
    <w:rsid w:val="00CB1D9C"/>
    <w:rsid w:val="00CB2EA8"/>
    <w:rsid w:val="00CB4460"/>
    <w:rsid w:val="00CB44CF"/>
    <w:rsid w:val="00CB7ACC"/>
    <w:rsid w:val="00CC14EC"/>
    <w:rsid w:val="00CC1852"/>
    <w:rsid w:val="00CC271F"/>
    <w:rsid w:val="00CC2C04"/>
    <w:rsid w:val="00CC2CC2"/>
    <w:rsid w:val="00CC3221"/>
    <w:rsid w:val="00CC3965"/>
    <w:rsid w:val="00CC4285"/>
    <w:rsid w:val="00CC4990"/>
    <w:rsid w:val="00CC4EB4"/>
    <w:rsid w:val="00CC5A40"/>
    <w:rsid w:val="00CC5C49"/>
    <w:rsid w:val="00CC5EA0"/>
    <w:rsid w:val="00CC5F53"/>
    <w:rsid w:val="00CC7060"/>
    <w:rsid w:val="00CD0A9E"/>
    <w:rsid w:val="00CD23CB"/>
    <w:rsid w:val="00CD2479"/>
    <w:rsid w:val="00CD2661"/>
    <w:rsid w:val="00CD2A20"/>
    <w:rsid w:val="00CD37C4"/>
    <w:rsid w:val="00CD381A"/>
    <w:rsid w:val="00CD3EDE"/>
    <w:rsid w:val="00CD48E9"/>
    <w:rsid w:val="00CD5CC8"/>
    <w:rsid w:val="00CE0416"/>
    <w:rsid w:val="00CE0F79"/>
    <w:rsid w:val="00CE27CB"/>
    <w:rsid w:val="00CE2C5D"/>
    <w:rsid w:val="00CE2D3B"/>
    <w:rsid w:val="00CE3359"/>
    <w:rsid w:val="00CE471E"/>
    <w:rsid w:val="00CE4F2E"/>
    <w:rsid w:val="00CE5556"/>
    <w:rsid w:val="00CE5F77"/>
    <w:rsid w:val="00CE7F20"/>
    <w:rsid w:val="00CF143E"/>
    <w:rsid w:val="00CF3074"/>
    <w:rsid w:val="00CF4B30"/>
    <w:rsid w:val="00CF5C3C"/>
    <w:rsid w:val="00CF5D45"/>
    <w:rsid w:val="00D00963"/>
    <w:rsid w:val="00D0180D"/>
    <w:rsid w:val="00D0245A"/>
    <w:rsid w:val="00D02AE2"/>
    <w:rsid w:val="00D04932"/>
    <w:rsid w:val="00D054C7"/>
    <w:rsid w:val="00D07BB4"/>
    <w:rsid w:val="00D10B11"/>
    <w:rsid w:val="00D11882"/>
    <w:rsid w:val="00D118DB"/>
    <w:rsid w:val="00D11C27"/>
    <w:rsid w:val="00D12ADF"/>
    <w:rsid w:val="00D12D3D"/>
    <w:rsid w:val="00D12F83"/>
    <w:rsid w:val="00D1405D"/>
    <w:rsid w:val="00D14E26"/>
    <w:rsid w:val="00D16A79"/>
    <w:rsid w:val="00D21766"/>
    <w:rsid w:val="00D21F16"/>
    <w:rsid w:val="00D2220F"/>
    <w:rsid w:val="00D23741"/>
    <w:rsid w:val="00D23A7C"/>
    <w:rsid w:val="00D24477"/>
    <w:rsid w:val="00D25194"/>
    <w:rsid w:val="00D26307"/>
    <w:rsid w:val="00D2662F"/>
    <w:rsid w:val="00D27B95"/>
    <w:rsid w:val="00D32DDE"/>
    <w:rsid w:val="00D343EE"/>
    <w:rsid w:val="00D34A0D"/>
    <w:rsid w:val="00D35495"/>
    <w:rsid w:val="00D3584B"/>
    <w:rsid w:val="00D364A1"/>
    <w:rsid w:val="00D403B3"/>
    <w:rsid w:val="00D40DA3"/>
    <w:rsid w:val="00D40F7A"/>
    <w:rsid w:val="00D41060"/>
    <w:rsid w:val="00D41FA3"/>
    <w:rsid w:val="00D4274E"/>
    <w:rsid w:val="00D437EF"/>
    <w:rsid w:val="00D44060"/>
    <w:rsid w:val="00D44826"/>
    <w:rsid w:val="00D449EF"/>
    <w:rsid w:val="00D50132"/>
    <w:rsid w:val="00D50CD9"/>
    <w:rsid w:val="00D512FF"/>
    <w:rsid w:val="00D558C2"/>
    <w:rsid w:val="00D5592F"/>
    <w:rsid w:val="00D56029"/>
    <w:rsid w:val="00D5626F"/>
    <w:rsid w:val="00D56354"/>
    <w:rsid w:val="00D56B35"/>
    <w:rsid w:val="00D6056F"/>
    <w:rsid w:val="00D60B65"/>
    <w:rsid w:val="00D61603"/>
    <w:rsid w:val="00D62D9D"/>
    <w:rsid w:val="00D63130"/>
    <w:rsid w:val="00D651E5"/>
    <w:rsid w:val="00D66BE3"/>
    <w:rsid w:val="00D66D02"/>
    <w:rsid w:val="00D674C5"/>
    <w:rsid w:val="00D70B7D"/>
    <w:rsid w:val="00D723A2"/>
    <w:rsid w:val="00D7263D"/>
    <w:rsid w:val="00D73DF3"/>
    <w:rsid w:val="00D74520"/>
    <w:rsid w:val="00D74C14"/>
    <w:rsid w:val="00D75470"/>
    <w:rsid w:val="00D77A57"/>
    <w:rsid w:val="00D809D2"/>
    <w:rsid w:val="00D83D7E"/>
    <w:rsid w:val="00D84434"/>
    <w:rsid w:val="00D848A0"/>
    <w:rsid w:val="00D84D2E"/>
    <w:rsid w:val="00D870AA"/>
    <w:rsid w:val="00D8798C"/>
    <w:rsid w:val="00D902AA"/>
    <w:rsid w:val="00D904C6"/>
    <w:rsid w:val="00D91C5C"/>
    <w:rsid w:val="00D91FF0"/>
    <w:rsid w:val="00D9231A"/>
    <w:rsid w:val="00D928ED"/>
    <w:rsid w:val="00D93F61"/>
    <w:rsid w:val="00D951E7"/>
    <w:rsid w:val="00D95BC1"/>
    <w:rsid w:val="00D96712"/>
    <w:rsid w:val="00D96E46"/>
    <w:rsid w:val="00D97874"/>
    <w:rsid w:val="00D97A5B"/>
    <w:rsid w:val="00DA0670"/>
    <w:rsid w:val="00DA11BE"/>
    <w:rsid w:val="00DA1848"/>
    <w:rsid w:val="00DA6050"/>
    <w:rsid w:val="00DA6375"/>
    <w:rsid w:val="00DB0C23"/>
    <w:rsid w:val="00DB1153"/>
    <w:rsid w:val="00DB162B"/>
    <w:rsid w:val="00DB33F8"/>
    <w:rsid w:val="00DB44DA"/>
    <w:rsid w:val="00DB47B0"/>
    <w:rsid w:val="00DB4892"/>
    <w:rsid w:val="00DB5D1B"/>
    <w:rsid w:val="00DB7DD6"/>
    <w:rsid w:val="00DC0AB4"/>
    <w:rsid w:val="00DC20B4"/>
    <w:rsid w:val="00DC2E32"/>
    <w:rsid w:val="00DC4132"/>
    <w:rsid w:val="00DC55E1"/>
    <w:rsid w:val="00DC6B15"/>
    <w:rsid w:val="00DC6BBB"/>
    <w:rsid w:val="00DC7B8A"/>
    <w:rsid w:val="00DD2C57"/>
    <w:rsid w:val="00DD4A0A"/>
    <w:rsid w:val="00DD68C2"/>
    <w:rsid w:val="00DD75C8"/>
    <w:rsid w:val="00DD7B59"/>
    <w:rsid w:val="00DE14A8"/>
    <w:rsid w:val="00DE1795"/>
    <w:rsid w:val="00DE3B8E"/>
    <w:rsid w:val="00DF1232"/>
    <w:rsid w:val="00DF2B3F"/>
    <w:rsid w:val="00DF2BE5"/>
    <w:rsid w:val="00DF3A29"/>
    <w:rsid w:val="00DF3F0D"/>
    <w:rsid w:val="00DF48AB"/>
    <w:rsid w:val="00DF4E28"/>
    <w:rsid w:val="00DF5AF2"/>
    <w:rsid w:val="00DF5B06"/>
    <w:rsid w:val="00DF692E"/>
    <w:rsid w:val="00DF6CBA"/>
    <w:rsid w:val="00E00010"/>
    <w:rsid w:val="00E00B4C"/>
    <w:rsid w:val="00E013C5"/>
    <w:rsid w:val="00E022D6"/>
    <w:rsid w:val="00E02535"/>
    <w:rsid w:val="00E025AC"/>
    <w:rsid w:val="00E02B6A"/>
    <w:rsid w:val="00E02DA5"/>
    <w:rsid w:val="00E031D8"/>
    <w:rsid w:val="00E04119"/>
    <w:rsid w:val="00E04D0D"/>
    <w:rsid w:val="00E05ECF"/>
    <w:rsid w:val="00E07BF9"/>
    <w:rsid w:val="00E07BFE"/>
    <w:rsid w:val="00E10880"/>
    <w:rsid w:val="00E110D0"/>
    <w:rsid w:val="00E11F47"/>
    <w:rsid w:val="00E11F8F"/>
    <w:rsid w:val="00E12009"/>
    <w:rsid w:val="00E12491"/>
    <w:rsid w:val="00E13C0A"/>
    <w:rsid w:val="00E14771"/>
    <w:rsid w:val="00E155B0"/>
    <w:rsid w:val="00E1617D"/>
    <w:rsid w:val="00E175BE"/>
    <w:rsid w:val="00E210C1"/>
    <w:rsid w:val="00E21230"/>
    <w:rsid w:val="00E22197"/>
    <w:rsid w:val="00E2273B"/>
    <w:rsid w:val="00E24DA5"/>
    <w:rsid w:val="00E3059E"/>
    <w:rsid w:val="00E30CF7"/>
    <w:rsid w:val="00E32436"/>
    <w:rsid w:val="00E32A43"/>
    <w:rsid w:val="00E341F2"/>
    <w:rsid w:val="00E342AA"/>
    <w:rsid w:val="00E346D6"/>
    <w:rsid w:val="00E36092"/>
    <w:rsid w:val="00E371DB"/>
    <w:rsid w:val="00E377DE"/>
    <w:rsid w:val="00E401C7"/>
    <w:rsid w:val="00E4126C"/>
    <w:rsid w:val="00E42599"/>
    <w:rsid w:val="00E425A6"/>
    <w:rsid w:val="00E43208"/>
    <w:rsid w:val="00E4338A"/>
    <w:rsid w:val="00E435DC"/>
    <w:rsid w:val="00E435F6"/>
    <w:rsid w:val="00E44323"/>
    <w:rsid w:val="00E45AF6"/>
    <w:rsid w:val="00E46ACC"/>
    <w:rsid w:val="00E505B7"/>
    <w:rsid w:val="00E515C0"/>
    <w:rsid w:val="00E5183F"/>
    <w:rsid w:val="00E5215D"/>
    <w:rsid w:val="00E52171"/>
    <w:rsid w:val="00E52559"/>
    <w:rsid w:val="00E53120"/>
    <w:rsid w:val="00E53EFA"/>
    <w:rsid w:val="00E55275"/>
    <w:rsid w:val="00E55D54"/>
    <w:rsid w:val="00E56BB0"/>
    <w:rsid w:val="00E60245"/>
    <w:rsid w:val="00E62EEE"/>
    <w:rsid w:val="00E633E4"/>
    <w:rsid w:val="00E634D2"/>
    <w:rsid w:val="00E66681"/>
    <w:rsid w:val="00E67E3A"/>
    <w:rsid w:val="00E70C94"/>
    <w:rsid w:val="00E71E6E"/>
    <w:rsid w:val="00E72B22"/>
    <w:rsid w:val="00E72E9E"/>
    <w:rsid w:val="00E7352A"/>
    <w:rsid w:val="00E74F72"/>
    <w:rsid w:val="00E769BC"/>
    <w:rsid w:val="00E76D32"/>
    <w:rsid w:val="00E804E6"/>
    <w:rsid w:val="00E84E19"/>
    <w:rsid w:val="00E858A2"/>
    <w:rsid w:val="00E85C1F"/>
    <w:rsid w:val="00E86486"/>
    <w:rsid w:val="00E869F9"/>
    <w:rsid w:val="00E8750E"/>
    <w:rsid w:val="00E90350"/>
    <w:rsid w:val="00E90F3B"/>
    <w:rsid w:val="00E9121C"/>
    <w:rsid w:val="00E92DC1"/>
    <w:rsid w:val="00E93620"/>
    <w:rsid w:val="00E95EA4"/>
    <w:rsid w:val="00E96D02"/>
    <w:rsid w:val="00E97189"/>
    <w:rsid w:val="00EA13C0"/>
    <w:rsid w:val="00EA1D2A"/>
    <w:rsid w:val="00EA1DDC"/>
    <w:rsid w:val="00EA217C"/>
    <w:rsid w:val="00EA2CE1"/>
    <w:rsid w:val="00EA53A4"/>
    <w:rsid w:val="00EA5559"/>
    <w:rsid w:val="00EA684D"/>
    <w:rsid w:val="00EA6F0A"/>
    <w:rsid w:val="00EA70E9"/>
    <w:rsid w:val="00EA7556"/>
    <w:rsid w:val="00EB3A5E"/>
    <w:rsid w:val="00EB4485"/>
    <w:rsid w:val="00EB531D"/>
    <w:rsid w:val="00EC09D6"/>
    <w:rsid w:val="00EC128C"/>
    <w:rsid w:val="00EC238C"/>
    <w:rsid w:val="00EC3132"/>
    <w:rsid w:val="00EC363B"/>
    <w:rsid w:val="00EC3D06"/>
    <w:rsid w:val="00EC5190"/>
    <w:rsid w:val="00EC6F69"/>
    <w:rsid w:val="00EC76F2"/>
    <w:rsid w:val="00EC775E"/>
    <w:rsid w:val="00EC7769"/>
    <w:rsid w:val="00EC7B4E"/>
    <w:rsid w:val="00ED158F"/>
    <w:rsid w:val="00ED1750"/>
    <w:rsid w:val="00ED1D7B"/>
    <w:rsid w:val="00ED3E98"/>
    <w:rsid w:val="00ED495D"/>
    <w:rsid w:val="00ED4B13"/>
    <w:rsid w:val="00ED53DB"/>
    <w:rsid w:val="00ED6C8E"/>
    <w:rsid w:val="00ED7084"/>
    <w:rsid w:val="00ED71EE"/>
    <w:rsid w:val="00EE3A02"/>
    <w:rsid w:val="00EE5309"/>
    <w:rsid w:val="00EE57E9"/>
    <w:rsid w:val="00EE592A"/>
    <w:rsid w:val="00EE6331"/>
    <w:rsid w:val="00EE64BD"/>
    <w:rsid w:val="00EF01D1"/>
    <w:rsid w:val="00EF0B55"/>
    <w:rsid w:val="00EF1FA3"/>
    <w:rsid w:val="00EF3726"/>
    <w:rsid w:val="00EF3DA6"/>
    <w:rsid w:val="00EF5D80"/>
    <w:rsid w:val="00EF60F6"/>
    <w:rsid w:val="00EF7E26"/>
    <w:rsid w:val="00F004AB"/>
    <w:rsid w:val="00F0082F"/>
    <w:rsid w:val="00F00A1B"/>
    <w:rsid w:val="00F03C70"/>
    <w:rsid w:val="00F04374"/>
    <w:rsid w:val="00F05193"/>
    <w:rsid w:val="00F05782"/>
    <w:rsid w:val="00F070D6"/>
    <w:rsid w:val="00F07881"/>
    <w:rsid w:val="00F07892"/>
    <w:rsid w:val="00F10051"/>
    <w:rsid w:val="00F10954"/>
    <w:rsid w:val="00F1170F"/>
    <w:rsid w:val="00F11DA4"/>
    <w:rsid w:val="00F121BB"/>
    <w:rsid w:val="00F12D2F"/>
    <w:rsid w:val="00F13CF4"/>
    <w:rsid w:val="00F14303"/>
    <w:rsid w:val="00F15493"/>
    <w:rsid w:val="00F1672F"/>
    <w:rsid w:val="00F16EFE"/>
    <w:rsid w:val="00F17900"/>
    <w:rsid w:val="00F21669"/>
    <w:rsid w:val="00F227D8"/>
    <w:rsid w:val="00F23287"/>
    <w:rsid w:val="00F246BF"/>
    <w:rsid w:val="00F254EB"/>
    <w:rsid w:val="00F270A5"/>
    <w:rsid w:val="00F27F86"/>
    <w:rsid w:val="00F30815"/>
    <w:rsid w:val="00F31858"/>
    <w:rsid w:val="00F33866"/>
    <w:rsid w:val="00F34AD7"/>
    <w:rsid w:val="00F357FD"/>
    <w:rsid w:val="00F36BBC"/>
    <w:rsid w:val="00F36D73"/>
    <w:rsid w:val="00F40DBB"/>
    <w:rsid w:val="00F4137A"/>
    <w:rsid w:val="00F424F1"/>
    <w:rsid w:val="00F426B3"/>
    <w:rsid w:val="00F442DA"/>
    <w:rsid w:val="00F46D46"/>
    <w:rsid w:val="00F471F3"/>
    <w:rsid w:val="00F55D47"/>
    <w:rsid w:val="00F55FF8"/>
    <w:rsid w:val="00F60E78"/>
    <w:rsid w:val="00F62305"/>
    <w:rsid w:val="00F62CC7"/>
    <w:rsid w:val="00F6469D"/>
    <w:rsid w:val="00F64CC0"/>
    <w:rsid w:val="00F65572"/>
    <w:rsid w:val="00F66261"/>
    <w:rsid w:val="00F667A3"/>
    <w:rsid w:val="00F678BB"/>
    <w:rsid w:val="00F679F6"/>
    <w:rsid w:val="00F67A3E"/>
    <w:rsid w:val="00F70309"/>
    <w:rsid w:val="00F742A0"/>
    <w:rsid w:val="00F74372"/>
    <w:rsid w:val="00F7534B"/>
    <w:rsid w:val="00F76492"/>
    <w:rsid w:val="00F779F7"/>
    <w:rsid w:val="00F8139E"/>
    <w:rsid w:val="00F85BD6"/>
    <w:rsid w:val="00F86634"/>
    <w:rsid w:val="00F874D1"/>
    <w:rsid w:val="00F87FEB"/>
    <w:rsid w:val="00F915B2"/>
    <w:rsid w:val="00F91B68"/>
    <w:rsid w:val="00F934A1"/>
    <w:rsid w:val="00F953FD"/>
    <w:rsid w:val="00F9615A"/>
    <w:rsid w:val="00FA0241"/>
    <w:rsid w:val="00FA02C2"/>
    <w:rsid w:val="00FA0CD7"/>
    <w:rsid w:val="00FA0CE3"/>
    <w:rsid w:val="00FA20F4"/>
    <w:rsid w:val="00FA4D29"/>
    <w:rsid w:val="00FA4FB4"/>
    <w:rsid w:val="00FA5C96"/>
    <w:rsid w:val="00FA600A"/>
    <w:rsid w:val="00FA79A4"/>
    <w:rsid w:val="00FA7EAF"/>
    <w:rsid w:val="00FB007E"/>
    <w:rsid w:val="00FB1DF3"/>
    <w:rsid w:val="00FB21DB"/>
    <w:rsid w:val="00FB24DA"/>
    <w:rsid w:val="00FB3EF3"/>
    <w:rsid w:val="00FB5875"/>
    <w:rsid w:val="00FB5F0D"/>
    <w:rsid w:val="00FB667B"/>
    <w:rsid w:val="00FC0397"/>
    <w:rsid w:val="00FC0A6E"/>
    <w:rsid w:val="00FC1DC2"/>
    <w:rsid w:val="00FC2682"/>
    <w:rsid w:val="00FC268A"/>
    <w:rsid w:val="00FC354E"/>
    <w:rsid w:val="00FC4DF4"/>
    <w:rsid w:val="00FC4F57"/>
    <w:rsid w:val="00FC592E"/>
    <w:rsid w:val="00FC5BD6"/>
    <w:rsid w:val="00FC7462"/>
    <w:rsid w:val="00FD0E60"/>
    <w:rsid w:val="00FD155A"/>
    <w:rsid w:val="00FD24B1"/>
    <w:rsid w:val="00FD2C81"/>
    <w:rsid w:val="00FD3598"/>
    <w:rsid w:val="00FD3BEF"/>
    <w:rsid w:val="00FD3C49"/>
    <w:rsid w:val="00FD40CD"/>
    <w:rsid w:val="00FD4751"/>
    <w:rsid w:val="00FD54E0"/>
    <w:rsid w:val="00FD7AE6"/>
    <w:rsid w:val="00FE1585"/>
    <w:rsid w:val="00FE1D9C"/>
    <w:rsid w:val="00FE2E6E"/>
    <w:rsid w:val="00FE369E"/>
    <w:rsid w:val="00FE4DCA"/>
    <w:rsid w:val="00FE58C6"/>
    <w:rsid w:val="00FE593F"/>
    <w:rsid w:val="00FF0601"/>
    <w:rsid w:val="00FF3284"/>
    <w:rsid w:val="00FF38DF"/>
    <w:rsid w:val="00FF547E"/>
    <w:rsid w:val="00FF55C6"/>
    <w:rsid w:val="00FF6607"/>
    <w:rsid w:val="00FF6CB7"/>
    <w:rsid w:val="00FF6D88"/>
    <w:rsid w:val="00FF7C92"/>
    <w:rsid w:val="03950A89"/>
    <w:rsid w:val="1AB42B08"/>
    <w:rsid w:val="25017CE6"/>
    <w:rsid w:val="63172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ABAD5"/>
  <w15:chartTrackingRefBased/>
  <w15:docId w15:val="{25014BE5-B6EF-4CF9-B269-2170F74E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BodyTextFirstIndent1"/>
    <w:link w:val="a4"/>
    <w:qFormat/>
    <w:pPr>
      <w:suppressAutoHyphens/>
      <w:spacing w:after="140" w:line="276" w:lineRule="auto"/>
    </w:pPr>
    <w:rPr>
      <w:rFonts w:ascii="Times New Roman" w:hAnsi="Times New Roman"/>
      <w:szCs w:val="24"/>
    </w:rPr>
  </w:style>
  <w:style w:type="character" w:customStyle="1" w:styleId="a4">
    <w:name w:val="正文文本 字符"/>
    <w:link w:val="a3"/>
    <w:rPr>
      <w:rFonts w:ascii="Times New Roman" w:hAnsi="Times New Roman"/>
      <w:kern w:val="2"/>
      <w:sz w:val="21"/>
      <w:szCs w:val="24"/>
    </w:rPr>
  </w:style>
  <w:style w:type="paragraph" w:customStyle="1" w:styleId="BodyTextFirstIndent1">
    <w:name w:val="Body Text First Indent1"/>
    <w:basedOn w:val="a3"/>
    <w:uiPriority w:val="99"/>
    <w:qFormat/>
    <w:pPr>
      <w:spacing w:line="360" w:lineRule="auto"/>
      <w:ind w:firstLineChars="100" w:firstLine="420"/>
    </w:pPr>
  </w:style>
  <w:style w:type="paragraph" w:styleId="a5">
    <w:name w:val="Date"/>
    <w:basedOn w:val="a"/>
    <w:next w:val="a"/>
    <w:link w:val="a6"/>
    <w:unhideWhenUsed/>
    <w:pPr>
      <w:ind w:leftChars="2500" w:left="100"/>
    </w:pPr>
  </w:style>
  <w:style w:type="character" w:customStyle="1" w:styleId="a6">
    <w:name w:val="日期 字符"/>
    <w:link w:val="a5"/>
    <w:rPr>
      <w:kern w:val="2"/>
      <w:sz w:val="21"/>
      <w:szCs w:val="22"/>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character" w:customStyle="1" w:styleId="a8">
    <w:name w:val="页脚 字符"/>
    <w:link w:val="a7"/>
    <w:uiPriority w:val="99"/>
    <w:rPr>
      <w:sz w:val="18"/>
      <w:szCs w:val="18"/>
    </w:rPr>
  </w:style>
  <w:style w:type="paragraph" w:styleId="a9">
    <w:name w:val="header"/>
    <w:basedOn w:val="a"/>
    <w:link w:val="aa"/>
    <w:unhideWhenUsed/>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Pr>
      <w:sz w:val="18"/>
      <w:szCs w:val="18"/>
    </w:rPr>
  </w:style>
  <w:style w:type="paragraph" w:styleId="ab">
    <w:name w:val="Normal (Web)"/>
    <w:basedOn w:val="a"/>
    <w:qFormat/>
    <w:pPr>
      <w:widowControl/>
      <w:spacing w:before="100" w:beforeAutospacing="1" w:after="100" w:afterAutospacing="1"/>
      <w:jc w:val="left"/>
    </w:pPr>
    <w:rPr>
      <w:rFonts w:ascii="宋体" w:hAnsi="宋体" w:cs="宋体"/>
      <w:kern w:val="0"/>
      <w:sz w:val="24"/>
      <w:szCs w:val="24"/>
    </w:rPr>
  </w:style>
  <w:style w:type="table" w:styleId="ac">
    <w:name w:val="Table Grid"/>
    <w:basedOn w:val="a1"/>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uiPriority w:val="99"/>
    <w:unhideWhenUsed/>
    <w:rPr>
      <w:color w:val="0000FF"/>
      <w:u w:val="single"/>
    </w:rPr>
  </w:style>
  <w:style w:type="character" w:customStyle="1" w:styleId="font41">
    <w:name w:val="font41"/>
    <w:qFormat/>
    <w:rPr>
      <w:rFonts w:ascii="Times New Roman" w:hAnsi="Times New Roman" w:cs="Times New Roman" w:hint="default"/>
      <w:b/>
      <w:color w:val="002060"/>
      <w:sz w:val="20"/>
      <w:szCs w:val="20"/>
      <w:u w:val="none"/>
    </w:rPr>
  </w:style>
  <w:style w:type="paragraph" w:customStyle="1" w:styleId="Char">
    <w:name w:val="Char"/>
    <w:basedOn w:val="a"/>
    <w:pPr>
      <w:tabs>
        <w:tab w:val="left" w:pos="360"/>
      </w:tabs>
      <w:spacing w:line="540" w:lineRule="exact"/>
      <w:ind w:firstLineChars="200" w:firstLine="560"/>
    </w:pPr>
    <w:rPr>
      <w:rFonts w:ascii="Times New Roman" w:hAnsi="Times New Roman"/>
      <w:szCs w:val="24"/>
    </w:rPr>
  </w:style>
  <w:style w:type="paragraph" w:customStyle="1" w:styleId="af">
    <w:name w:val="报告正文"/>
    <w:basedOn w:val="a"/>
    <w:qFormat/>
    <w:pPr>
      <w:spacing w:line="540" w:lineRule="exact"/>
      <w:ind w:firstLineChars="200" w:firstLine="200"/>
    </w:pPr>
    <w:rPr>
      <w:rFonts w:ascii="Times New Roman" w:hAnsi="Times New Roman"/>
      <w:sz w:val="28"/>
      <w:szCs w:val="28"/>
    </w:rPr>
  </w:style>
  <w:style w:type="paragraph" w:customStyle="1" w:styleId="NoSpacing1">
    <w:name w:val="No Spacing1"/>
    <w:basedOn w:val="a"/>
    <w:qFormat/>
    <w:pPr>
      <w:tabs>
        <w:tab w:val="left" w:pos="737"/>
      </w:tabs>
      <w:spacing w:line="400" w:lineRule="exact"/>
    </w:pPr>
    <w:rPr>
      <w:sz w:val="24"/>
    </w:rPr>
  </w:style>
  <w:style w:type="paragraph" w:customStyle="1" w:styleId="-1">
    <w:name w:val="正文-公1"/>
    <w:basedOn w:val="a"/>
    <w:next w:val="a"/>
    <w:qFormat/>
    <w:pPr>
      <w:ind w:firstLineChars="200" w:firstLine="200"/>
      <w:jc w:val="left"/>
    </w:pPr>
    <w:rPr>
      <w:rFonts w:ascii="Times New Roman" w:eastAsia="仿宋_GB2312" w:hAnsi="Times New Roman"/>
      <w:szCs w:val="24"/>
    </w:rPr>
  </w:style>
  <w:style w:type="character" w:customStyle="1" w:styleId="font11">
    <w:name w:val="font11"/>
    <w:qFormat/>
    <w:rPr>
      <w:rFonts w:ascii="Times New Roman" w:hAnsi="Times New Roman" w:cs="Times New Roman" w:hint="default"/>
      <w:color w:val="000000"/>
      <w:sz w:val="40"/>
      <w:szCs w:val="40"/>
      <w:u w:val="none"/>
    </w:rPr>
  </w:style>
  <w:style w:type="character" w:customStyle="1" w:styleId="font141">
    <w:name w:val="font141"/>
    <w:qFormat/>
    <w:rPr>
      <w:rFonts w:ascii="方正小标宋简体" w:eastAsia="方正小标宋简体" w:hAnsi="方正小标宋简体" w:cs="方正小标宋简体" w:hint="eastAsia"/>
      <w:color w:val="000000"/>
      <w:sz w:val="40"/>
      <w:szCs w:val="40"/>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51">
    <w:name w:val="font51"/>
    <w:qFormat/>
    <w:rPr>
      <w:rFonts w:ascii="宋体" w:eastAsia="宋体" w:hAnsi="宋体" w:cs="宋体" w:hint="eastAsia"/>
      <w:color w:val="000000"/>
      <w:sz w:val="24"/>
      <w:szCs w:val="24"/>
      <w:u w:val="none"/>
    </w:rPr>
  </w:style>
  <w:style w:type="paragraph" w:customStyle="1" w:styleId="af0">
    <w:name w:val="*正文"/>
    <w:basedOn w:val="a"/>
    <w:semiHidden/>
    <w:qFormat/>
    <w:pPr>
      <w:suppressAutoHyphens/>
      <w:ind w:firstLine="640"/>
    </w:pPr>
    <w:rPr>
      <w:rFonts w:ascii="仿宋"/>
      <w:szCs w:val="24"/>
    </w:rPr>
  </w:style>
  <w:style w:type="character" w:customStyle="1" w:styleId="font21">
    <w:name w:val="font21"/>
    <w:qFormat/>
    <w:rPr>
      <w:rFonts w:ascii="黑体" w:eastAsia="黑体" w:hAnsi="宋体" w:cs="黑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6086</Words>
  <Characters>6208</Characters>
  <Application>Microsoft Office Word</Application>
  <DocSecurity>0</DocSecurity>
  <Lines>443</Lines>
  <Paragraphs>534</Paragraphs>
  <ScaleCrop>false</ScaleCrop>
  <Company>Microsoft</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陈令子</dc:creator>
  <cp:keywords/>
  <cp:lastModifiedBy>菠萝 菠萝</cp:lastModifiedBy>
  <cp:revision>2</cp:revision>
  <cp:lastPrinted>2025-05-22T10:13:00Z</cp:lastPrinted>
  <dcterms:created xsi:type="dcterms:W3CDTF">2026-01-30T11:05:00Z</dcterms:created>
  <dcterms:modified xsi:type="dcterms:W3CDTF">2026-01-30T11:05:00Z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eyJoZGlkIjoiYWJhZmYyYTIxMDQ0Y2JkYWM0MDEwZjg5ZDQwM2I3NzAiLCJ1c2VySWQiOiIxNjI4Mjk5MjgzIn0=</vt:lpwstr>
  </property>
  <property fmtid="{D5CDD505-2E9C-101B-9397-08002B2CF9AE}" pid="3" name="KSOProductBuildVer">
    <vt:lpwstr>2052-12.1.0.24034</vt:lpwstr>
  </property>
  <property fmtid="{D5CDD505-2E9C-101B-9397-08002B2CF9AE}" pid="4" name="ICV">
    <vt:lpwstr>4700AEDF42E74CDDBBA278F48D7A4C6B_12</vt:lpwstr>
  </property>
</Properties>
</file>